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Photographs That Decide Who Pays for the Damage</w:t>
      </w:r>
    </w:p>
    <w:p>
      <w:r>
        <w:t>&lt;span &gt;A container arrives with a crushed corner. Somewhere between the shipper's yard and the consignee's dock, across a truck, a terminal, a vessel and another terminal, that damage occurred. The commercial question of who bears the cost usually comes down to a much smaller question: at which point in the chain does the first photograph showing that damage appear? In freight, the visual record is not administrative overhead. It is the evidence that settles the claim. &lt;/span&gt;</w:t>
      </w:r>
    </w:p>
    <w:p>
      <w:r>
        <w:t>&lt;h2&gt;Every Handover Is a Liability Boundary &lt;/h2&gt;</w:t>
      </w:r>
    </w:p>
    <w:p>
      <w:r>
        <w:t>A shipment changes custody repeatedly, and each transfer moves responsibility from one party to another. Condition at the moment of transfer is what determines where a loss lands, which is why gate-in and gate-out inspections, container condition reports, seal verification and stuffing photographs exist at all. When those records are complete, a claim is a matter of reading the file. When they are patchy, it becomes a negotiation between parties each holding a partial account, and the outcome frequently reflects who documented better rather than what actually happened.</w:t>
      </w:r>
    </w:p>
    <w:p>
      <w:r>
        <w:t>&lt;h2&gt;The Volume Problem Is Not Obvious Until It Is &lt;/h2&gt;</w:t>
      </w:r>
    </w:p>
    <w:p>
      <w:r>
        <w:t>A single shipment can generate dozens of images: container exterior on collection, seal close-ups, stuffing sequence, securing arrangements, damage details, delivery condition, proof of delivery. Multiply that across the volumes a mid-sized forwarder handles and the annual total runs to hundreds of thousands of files. Most of these arrive from phones in the field, named by whatever the device chose, sent through messaging apps, and dropped into folders organised by whoever created them. The material exists. Whether it can be found eighteen months later when a claim is disputed is an entirely separate question.</w:t>
      </w:r>
    </w:p>
    <w:p>
      <w:r>
        <w:t>&lt;h2&gt;Finding a Photograph Is the Whole Point &lt;/h2&gt;</w:t>
      </w:r>
    </w:p>
    <w:p>
      <w:r>
        <w:t>Documentation nobody can retrieve provides no protection at all, and the retrieval problem is where most logistics operations quietly fail. An image is useful only when it can be tied to a booking, a container, a date, a location and a stage in the movement, and that linkage has to be captured at the moment the photo is taken rather than reconstructed afterwards. Operators evaluating how to structure this often start with &lt;a href="https://cloudinary.com/guides/digital-asset-management/digital-asset-management" target="_blank"&gt;a Cloudinary DAM overview&lt;/a&gt; to understand how asset management platforms handle metadata, tagging and search, because the underlying requirement is the same one those systems were built for: describing files well enough that they can be found by attribute rather than by remembering where somebody filed them.</w:t>
      </w:r>
    </w:p>
    <w:p>
      <w:r>
        <w:t>&lt;h2&gt;Capture in the Field Has to Be Frictionless &lt;/h2&gt;</w:t>
      </w:r>
    </w:p>
    <w:p>
      <w:r>
        <w:t>Any system that adds work at the point of capture will be bypassed, because the person taking the photograph is standing on a wet quay with a clipboard and a queue behind them. What works is capture that carries context automatically: a phone application tied to the booking reference, tagging location and timestamp without anyone typing, uploading when signal permits and queueing when it does not. What fails is asking a driver to rename files or fill in a form afterwards. The quality of a documentation regime is decided almost entirely by how little it demands of the person holding the camera. Training matters alongside the tooling, and it can be brief. Knowing to capture the container number in the same frame as the damage, to include something for scale, and to take a wide shot before a close-up produces evidence that stands up far better than a folder of tight crops showing a dent with no indication of which unit it belonged to.</w:t>
      </w:r>
    </w:p>
    <w:p>
      <w:r>
        <w:t>&lt;h2&gt;The Same Records Serve More Than Claims &lt;/h2&gt;</w:t>
      </w:r>
    </w:p>
    <w:p>
      <w:r>
        <w:t>Visual documentation earns its cost several times over once it exists in a usable form. Damage photographs feed pattern analysis that identifies which lanes, terminals or packing methods produce recurring problems. Condition records support insurance discussions with evidence rather than assertion. Delivery images reduce disputes with consignees. And a complete file assembled at the time of the movement is considerably more persuasive to a surveyor or an insurer than material gathered defensively after a claim is raised.</w:t>
      </w:r>
    </w:p>
    <w:p>
      <w:r>
        <w:t>&lt;h2&gt;Documentation Is Moving Toward Structured Data &lt;/h2&gt;</w:t>
      </w:r>
    </w:p>
    <w:p>
      <w:r>
        <w:t>The wider direction of travel in the industry supports this. Under the Facilitation Convention administered by the &lt;a href="https://www.imo.org/" target="_blank"&gt;International Maritime Organization&lt;/a&gt;, electronic exchange of information between ships and ports has become the expected standard rather than an option, reflecting a broader shift across trade documentation from paper and scanned images toward structured, machine-readable records. Operations that already hold their visual documentation in an organised, well-described system are positioned for that shift. Those with photographs distributed across phones, inboxes and shared drives will find the transition considerably more expensive, because the work of describing that material still has to happen, only later and in bulk.</w:t>
      </w:r>
    </w:p>
    <w:p>
      <w:r>
        <w:t>&lt;h2&gt;Decide the Standard Before the Dispute &lt;/h2&gt;</w:t>
      </w:r>
    </w:p>
    <w:p>
      <w:r>
        <w:t>&lt;span &gt;The forwarders and carriers who handle claims well have generally answered a short list of questions in advance rather than during an argument. What must be photographed at each stage, and by whom? How is each image linked to a shipment? Where is it stored, who can retrieve it, and for how long is it kept? Retention deserves particular thought, since claim and limitation periods in this industry can run well beyond the point at which anyone would instinctively delete an old file. None of these questions are difficult. They are simply much easier to answer now than on the afternoon a container arrives with a crushed corner and nobody can find the gate-in photograph. It is also worth agreeing the standard with the counterparties you work with regularly, since documentation that both sides accept resolves disputes faster than evidence one party can challenge on process grounds. &lt;/span&gt;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