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003366"/>
          <w:sz w:val="44"/>
        </w:rPr>
        <w:t>SeaRates CO2 Calculator: Freight Footprint Guide</w:t>
      </w:r>
    </w:p>
    <w:p>
      <w:r>
        <w:rPr>
          <w:rFonts w:ascii="Calibri" w:hAnsi="Calibri"/>
          <w:i/>
          <w:color w:val="646464"/>
          <w:sz w:val="18"/>
        </w:rPr>
        <w:t>Meta Title: Calculate Freight Emissions with SeaRates CO2 Tool</w:t>
      </w:r>
    </w:p>
    <w:p>
      <w:r>
        <w:rPr>
          <w:rFonts w:ascii="Calibri" w:hAnsi="Calibri"/>
          <w:i/>
          <w:color w:val="646464"/>
          <w:sz w:val="18"/>
        </w:rPr>
        <w:t>Meta Description: Estimate freight carbon emissions using the SeaRates CO2 Calculator based on ISO 14083 and GLEC v2.0 standards. Compare carriers and offset emissions.</w:t>
      </w:r>
    </w:p>
    <w:p/>
    <w:p>
      <w:pPr>
        <w:spacing w:line="276" w:lineRule="auto" w:after="120"/>
      </w:pPr>
      <w:r>
        <w:rPr>
          <w:rFonts w:ascii="Calibri" w:hAnsi="Calibri"/>
          <w:sz w:val="22"/>
        </w:rPr>
        <w:t>The Carbon Emissions Calculator by SeaRates calculates emissions across global ocean, road, rail, and air transport. Built on the GLEC (Global Logistics Emissions Council) Framework Version 2.0, the tool executes calculations in compliance with ISO 14083 principles, the official benchmark for measuring supply chain greenhouse gas output. Shippers can estimate footprint values and compensate for CO2 offsets within a single system.</w:t>
      </w:r>
    </w:p>
    <w:p>
      <w:pPr>
        <w:pStyle w:val="Heading2"/>
      </w:pPr>
      <w:r>
        <w:rPr>
          <w:rFonts w:ascii="Calibri" w:hAnsi="Calibri"/>
          <w:b/>
          <w:color w:val="003366"/>
          <w:sz w:val="30"/>
        </w:rPr>
        <w:t>Account Plans and Usage Tiers</w:t>
      </w:r>
    </w:p>
    <w:p>
      <w:pPr>
        <w:spacing w:line="276" w:lineRule="auto" w:after="120"/>
      </w:pPr>
      <w:r>
        <w:rPr>
          <w:rFonts w:ascii="Calibri" w:hAnsi="Calibri"/>
          <w:sz w:val="22"/>
        </w:rPr>
        <w:t>New accounts receive two daily carbon calculations and up to ten unique queries per month. Users requiring expanded capacity can select a subscription plan to adjust their calculation volume, or request a customized solution designed for their operational needs.</w:t>
      </w:r>
    </w:p>
    <w:p>
      <w:pPr>
        <w:pStyle w:val="Heading2"/>
      </w:pPr>
      <w:r>
        <w:rPr>
          <w:rFonts w:ascii="Calibri" w:hAnsi="Calibri"/>
          <w:b/>
          <w:color w:val="003366"/>
          <w:sz w:val="30"/>
        </w:rPr>
        <w:t>Data Inputs for Emission Routing</w:t>
      </w:r>
    </w:p>
    <w:p>
      <w:pPr>
        <w:spacing w:line="276" w:lineRule="auto" w:after="120"/>
      </w:pPr>
      <w:r>
        <w:rPr>
          <w:rFonts w:ascii="Calibri" w:hAnsi="Calibri"/>
          <w:sz w:val="22"/>
        </w:rPr>
        <w:t>Calculating emissions requires entering departure and destination locations, specified as a city, port, airport, or station, across sea, land, or air modes. Route adjustments rely on the SeaRates Autocomplete service, which queries a granular database.</w:t>
      </w:r>
    </w:p>
    <w:p>
      <w:pPr>
        <w:spacing w:line="276" w:lineRule="auto" w:after="120"/>
      </w:pPr>
      <w:r>
        <w:rPr>
          <w:rFonts w:ascii="Calibri" w:hAnsi="Calibri"/>
          <w:sz w:val="22"/>
        </w:rPr>
        <w:t>The calculator processes several core parameters for complex cargo calculations:</w:t>
      </w:r>
    </w:p>
    <w:p>
      <w:pPr>
        <w:pStyle w:val="ListBullet"/>
      </w:pPr>
      <w:r>
        <w:rPr>
          <w:rFonts w:ascii="Calibri" w:hAnsi="Calibri"/>
          <w:sz w:val="22"/>
        </w:rPr>
        <w:t>Route coordinates</w:t>
      </w:r>
    </w:p>
    <w:p>
      <w:pPr>
        <w:pStyle w:val="ListBullet"/>
      </w:pPr>
      <w:r>
        <w:rPr>
          <w:rFonts w:ascii="Calibri" w:hAnsi="Calibri"/>
          <w:sz w:val="22"/>
        </w:rPr>
        <w:t>Shipment type and container type</w:t>
      </w:r>
    </w:p>
    <w:p>
      <w:pPr>
        <w:pStyle w:val="ListBullet"/>
      </w:pPr>
      <w:r>
        <w:rPr>
          <w:rFonts w:ascii="Calibri" w:hAnsi="Calibri"/>
          <w:sz w:val="22"/>
        </w:rPr>
        <w:t>Mode of transportation</w:t>
      </w:r>
    </w:p>
    <w:p>
      <w:pPr>
        <w:pStyle w:val="ListBullet"/>
      </w:pPr>
      <w:r>
        <w:rPr>
          <w:rFonts w:ascii="Calibri" w:hAnsi="Calibri"/>
          <w:sz w:val="22"/>
        </w:rPr>
        <w:t>Cargo weight</w:t>
      </w:r>
    </w:p>
    <w:p>
      <w:pPr>
        <w:pStyle w:val="ListBullet"/>
      </w:pPr>
      <w:r>
        <w:rPr>
          <w:rFonts w:ascii="Calibri" w:hAnsi="Calibri"/>
          <w:sz w:val="22"/>
        </w:rPr>
        <w:t>Carrier or shipping line</w:t>
      </w:r>
    </w:p>
    <w:p>
      <w:pPr>
        <w:pStyle w:val="ListBullet"/>
      </w:pPr>
      <w:r>
        <w:rPr>
          <w:rFonts w:ascii="Calibri" w:hAnsi="Calibri"/>
          <w:sz w:val="22"/>
        </w:rPr>
        <w:t>Historical CO2 emissions data and dynamic tracking insights</w:t>
      </w:r>
    </w:p>
    <w:p>
      <w:pPr>
        <w:pStyle w:val="ListBullet"/>
      </w:pPr>
      <w:r>
        <w:rPr>
          <w:rFonts w:ascii="Calibri" w:hAnsi="Calibri"/>
          <w:sz w:val="22"/>
        </w:rPr>
        <w:t>Distance, carrier performance, and emission control zones</w:t>
      </w:r>
    </w:p>
    <w:p>
      <w:pPr>
        <w:pStyle w:val="Heading2"/>
      </w:pPr>
      <w:r>
        <w:rPr>
          <w:rFonts w:ascii="Calibri" w:hAnsi="Calibri"/>
          <w:b/>
          <w:color w:val="003366"/>
          <w:sz w:val="30"/>
        </w:rPr>
        <w:t>Carrier Comparison &amp; Carbon Offsetting</w:t>
      </w:r>
    </w:p>
    <w:p>
      <w:pPr>
        <w:spacing w:line="276" w:lineRule="auto" w:after="120"/>
      </w:pPr>
      <w:r>
        <w:rPr>
          <w:rFonts w:ascii="Calibri" w:hAnsi="Calibri"/>
          <w:sz w:val="22"/>
        </w:rPr>
        <w:t>The system generates eligible transport providers for the destination alongside exact carbon footprint figures. Users can examine breakdowns of greenhouse gas output per transit segment and destination point.</w:t>
      </w:r>
    </w:p>
    <w:p>
      <w:pPr>
        <w:spacing w:line="276" w:lineRule="auto" w:after="120"/>
      </w:pPr>
      <w:r>
        <w:rPr>
          <w:rFonts w:ascii="Calibri" w:hAnsi="Calibri"/>
          <w:sz w:val="22"/>
        </w:rPr>
        <w:t>Comparing land and air options helps identify cost-effective routes while evaluating carrier performance. Directly below each result, the system displays suggested carbon offset compensation, calculated from cargo weight, route distance, and the selected carrier. This fee can be included when executing shipments, or users can request pricing through SeaRates for competitive offset options when planning supply flows.</w:t>
      </w:r>
    </w:p>
    <w:p>
      <w:pPr>
        <w:pStyle w:val="Heading2"/>
      </w:pPr>
      <w:r>
        <w:rPr>
          <w:rFonts w:ascii="Calibri" w:hAnsi="Calibri"/>
          <w:b/>
          <w:color w:val="003366"/>
          <w:sz w:val="30"/>
        </w:rPr>
        <w:t>Embedding Tools via Web or API</w:t>
      </w:r>
    </w:p>
    <w:p>
      <w:pPr>
        <w:spacing w:line="276" w:lineRule="auto" w:after="120"/>
      </w:pPr>
      <w:r>
        <w:rPr>
          <w:rFonts w:ascii="Calibri" w:hAnsi="Calibri"/>
          <w:sz w:val="22"/>
        </w:rPr>
        <w:t>Businesses can implement a white-label integration to host the Carbon Emissions Calculator on their website, providing sea, land, and air CO2 calculations for customer demand. Review the complete set of web-integrated features on the SeaRates platform.</w:t>
      </w:r>
    </w:p>
    <w:p>
      <w:pPr>
        <w:spacing w:line="276" w:lineRule="auto" w:after="120"/>
      </w:pPr>
      <w:r>
        <w:rPr>
          <w:rFonts w:ascii="Calibri" w:hAnsi="Calibri"/>
          <w:sz w:val="22"/>
        </w:rPr>
        <w:t>For system-level integration, the tool offers API connection into CRM, ERP, or TMS platforms. Full API documentation is available on the SeaRates Developer Portal. Customized plans and tailored digital freight management tools can be requested by submitting an IT Quote form or emailing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