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sz w:val="40"/>
        </w:rPr>
        <w:t>SeaRates Logistics Map: Transport Sourcing &amp; Fleet Map</w:t>
      </w:r>
    </w:p>
    <w:p>
      <w:pPr>
        <w:spacing w:after="80"/>
      </w:pPr>
      <w:r>
        <w:rPr>
          <w:rFonts w:ascii="Arial" w:hAnsi="Arial"/>
          <w:i/>
          <w:sz w:val="18"/>
        </w:rPr>
        <w:t>Meta Title: SeaRates Logistics Map Transport Guide</w:t>
      </w:r>
    </w:p>
    <w:p>
      <w:pPr>
        <w:spacing w:after="360"/>
      </w:pPr>
      <w:r>
        <w:rPr>
          <w:rFonts w:ascii="Arial" w:hAnsi="Arial"/>
          <w:i/>
          <w:sz w:val="18"/>
        </w:rPr>
        <w:t>Meta Description: Book freight or list available trucks, vessels, railcars, and aircraft on SeaRates Logistics Map Transport with real-time fleet visibility.</w:t>
      </w:r>
    </w:p>
    <w:p>
      <w:pPr>
        <w:spacing w:after="160"/>
      </w:pPr>
      <w:r>
        <w:rPr>
          <w:rFonts w:ascii="Arial" w:hAnsi="Arial"/>
          <w:sz w:val="22"/>
        </w:rPr>
        <w:t>Freight moves on clear information, but matching empty transport units with available cargo across global trade lanes often stalls in lengthy back-and-forth communication.</w:t>
      </w:r>
    </w:p>
    <w:p>
      <w:pPr>
        <w:spacing w:after="160"/>
      </w:pPr>
      <w:r>
        <w:rPr>
          <w:rFonts w:ascii="Arial" w:hAnsi="Arial"/>
          <w:sz w:val="22"/>
        </w:rPr>
        <w:t>The Transport section inside SeaRates Logistics Map provides a live view of worldwide commercial movement. Cargo owners search here for vehicle space, and transport operators publish their available capacity.</w:t>
      </w:r>
    </w:p>
    <w:p>
      <w:pPr>
        <w:spacing w:after="160"/>
      </w:pPr>
      <w:r>
        <w:rPr>
          <w:rFonts w:ascii="Arial" w:hAnsi="Arial"/>
          <w:sz w:val="22"/>
        </w:rPr>
        <w:t>Carriers list trucks, vessels, wagons, or aircraft ready for dispatched jobs. At the same time, shippers submit active transport inquiries. When exploring the map, zooming into Rotterdam highlights regional haulage units, checking the American Midwest shows refrigerated trailers awaiting loads, and shifting toward the Black Sea reveals Ro-Ro vessels near Istanbul. This grants dispatchers real-time fleet visibility across major trade corridors.</w:t>
      </w:r>
    </w:p>
    <w:p>
      <w:pPr>
        <w:spacing w:before="280" w:after="120"/>
      </w:pPr>
      <w:r>
        <w:rPr>
          <w:rFonts w:ascii="Arial" w:hAnsi="Arial"/>
          <w:b/>
          <w:sz w:val="28"/>
        </w:rPr>
        <w:t>How Cargo Owners Secure Equipment</w:t>
      </w:r>
    </w:p>
    <w:p>
      <w:pPr>
        <w:spacing w:after="160"/>
      </w:pPr>
      <w:r>
        <w:rPr>
          <w:rFonts w:ascii="Arial" w:hAnsi="Arial"/>
          <w:sz w:val="22"/>
        </w:rPr>
        <w:t>Cargo owners and forwarders locate equipment on the map using two main methods: submitting a formal quote inquiry or filtering available market listings.</w:t>
      </w:r>
    </w:p>
    <w:p>
      <w:pPr>
        <w:spacing w:after="160"/>
      </w:pPr>
      <w:r>
        <w:rPr>
          <w:rFonts w:ascii="Arial" w:hAnsi="Arial"/>
          <w:sz w:val="22"/>
        </w:rPr>
        <w:t>The quote submission form gathers necessary operational specifics:</w:t>
      </w:r>
    </w:p>
    <w:p>
      <w:pPr>
        <w:pStyle w:val="ListBullet"/>
        <w:spacing w:after="60"/>
      </w:pPr>
      <w:r>
        <w:rPr>
          <w:rFonts w:ascii="Arial" w:hAnsi="Arial"/>
          <w:sz w:val="22"/>
        </w:rPr>
        <w:t>Freight classification and cargo characteristics</w:t>
      </w:r>
    </w:p>
    <w:p>
      <w:pPr>
        <w:pStyle w:val="ListBullet"/>
        <w:spacing w:after="60"/>
      </w:pPr>
      <w:r>
        <w:rPr>
          <w:rFonts w:ascii="Arial" w:hAnsi="Arial"/>
          <w:sz w:val="22"/>
        </w:rPr>
        <w:t>Shipping mode selection</w:t>
      </w:r>
    </w:p>
    <w:p>
      <w:pPr>
        <w:pStyle w:val="ListBullet"/>
        <w:spacing w:after="60"/>
      </w:pPr>
      <w:r>
        <w:rPr>
          <w:rFonts w:ascii="Arial" w:hAnsi="Arial"/>
          <w:sz w:val="22"/>
        </w:rPr>
        <w:t>Required container specification and volume</w:t>
      </w:r>
    </w:p>
    <w:p>
      <w:pPr>
        <w:pStyle w:val="ListBullet"/>
        <w:spacing w:after="60"/>
      </w:pPr>
      <w:r>
        <w:rPr>
          <w:rFonts w:ascii="Arial" w:hAnsi="Arial"/>
          <w:sz w:val="22"/>
        </w:rPr>
        <w:t>Total payload mass</w:t>
      </w:r>
    </w:p>
    <w:p>
      <w:pPr>
        <w:pStyle w:val="ListBullet"/>
        <w:spacing w:after="60"/>
      </w:pPr>
      <w:r>
        <w:rPr>
          <w:rFonts w:ascii="Arial" w:hAnsi="Arial"/>
          <w:sz w:val="22"/>
        </w:rPr>
        <w:t>Dispatch and destination locations</w:t>
      </w:r>
    </w:p>
    <w:p>
      <w:pPr>
        <w:pStyle w:val="ListBullet"/>
        <w:spacing w:after="60"/>
      </w:pPr>
      <w:r>
        <w:rPr>
          <w:rFonts w:ascii="Arial" w:hAnsi="Arial"/>
          <w:sz w:val="22"/>
        </w:rPr>
        <w:t>Scheduled loading date</w:t>
      </w:r>
    </w:p>
    <w:p>
      <w:pPr>
        <w:pStyle w:val="ListBullet"/>
        <w:spacing w:after="60"/>
      </w:pPr>
      <w:r>
        <w:rPr>
          <w:rFonts w:ascii="Arial" w:hAnsi="Arial"/>
          <w:sz w:val="22"/>
        </w:rPr>
        <w:t>Commercial freight terms</w:t>
      </w:r>
    </w:p>
    <w:p>
      <w:pPr>
        <w:pStyle w:val="ListBullet"/>
        <w:spacing w:after="60"/>
      </w:pPr>
      <w:r>
        <w:rPr>
          <w:rFonts w:ascii="Arial" w:hAnsi="Arial"/>
          <w:sz w:val="22"/>
        </w:rPr>
        <w:t>Optional add-on services and instructions</w:t>
      </w:r>
    </w:p>
    <w:p>
      <w:pPr>
        <w:spacing w:after="160"/>
      </w:pPr>
      <w:r>
        <w:rPr>
          <w:rFonts w:ascii="Arial" w:hAnsi="Arial"/>
          <w:sz w:val="22"/>
        </w:rPr>
        <w:t>Once submitted, the system publishes the inquiry directly to Logistics Map Transport. Quotes from fleet owners populate the Virtual Office Dashboard in real time. Individual quotes specify transport operator background, unit technical capacity, distance-based or fixed pricing, and booking conditions. Shippers accept preferred rates with a single click, obtain instant booking confirmation, and track cargo movements.</w:t>
      </w:r>
    </w:p>
    <w:p>
      <w:pPr>
        <w:spacing w:after="160"/>
      </w:pPr>
      <w:r>
        <w:rPr>
          <w:rFonts w:ascii="Arial" w:hAnsi="Arial"/>
          <w:sz w:val="22"/>
        </w:rPr>
        <w:t>To browse pre-listed market capacity, users set origin and destination points or refine cards through specific filters:</w:t>
      </w:r>
    </w:p>
    <w:p>
      <w:pPr>
        <w:pStyle w:val="ListBullet"/>
        <w:spacing w:after="60"/>
      </w:pPr>
      <w:r>
        <w:rPr>
          <w:rFonts w:ascii="Arial" w:hAnsi="Arial"/>
          <w:sz w:val="22"/>
        </w:rPr>
        <w:t>Operational area</w:t>
      </w:r>
    </w:p>
    <w:p>
      <w:pPr>
        <w:pStyle w:val="ListBullet"/>
        <w:spacing w:after="60"/>
      </w:pPr>
      <w:r>
        <w:rPr>
          <w:rFonts w:ascii="Arial" w:hAnsi="Arial"/>
          <w:sz w:val="22"/>
        </w:rPr>
        <w:t>Target availability and discharge timing</w:t>
      </w:r>
    </w:p>
    <w:p>
      <w:pPr>
        <w:pStyle w:val="ListBullet"/>
        <w:spacing w:after="60"/>
      </w:pPr>
      <w:r>
        <w:rPr>
          <w:rFonts w:ascii="Arial" w:hAnsi="Arial"/>
          <w:sz w:val="22"/>
        </w:rPr>
        <w:t>Unique unit identifier</w:t>
      </w:r>
    </w:p>
    <w:p>
      <w:pPr>
        <w:pStyle w:val="ListBullet"/>
        <w:spacing w:after="60"/>
      </w:pPr>
      <w:r>
        <w:rPr>
          <w:rFonts w:ascii="Arial" w:hAnsi="Arial"/>
          <w:sz w:val="22"/>
        </w:rPr>
        <w:t>Asset classification</w:t>
      </w:r>
    </w:p>
    <w:p>
      <w:pPr>
        <w:pStyle w:val="ListBullet"/>
        <w:spacing w:after="60"/>
      </w:pPr>
      <w:r>
        <w:rPr>
          <w:rFonts w:ascii="Arial" w:hAnsi="Arial"/>
          <w:sz w:val="22"/>
        </w:rPr>
        <w:t>Pricing structure (flat rate, distance pricing, or daily rental)</w:t>
      </w:r>
    </w:p>
    <w:p>
      <w:pPr>
        <w:spacing w:after="160"/>
      </w:pPr>
      <w:r>
        <w:rPr>
          <w:rFonts w:ascii="Arial" w:hAnsi="Arial"/>
          <w:sz w:val="22"/>
        </w:rPr>
        <w:t>The platform supports diverse asset classifications across five transport modes:</w:t>
      </w:r>
    </w:p>
    <w:p>
      <w:pPr>
        <w:pStyle w:val="ListBullet"/>
        <w:spacing w:after="60"/>
      </w:pPr>
      <w:r>
        <w:rPr>
          <w:rFonts w:ascii="Arial" w:hAnsi="Arial"/>
          <w:b/>
          <w:sz w:val="22"/>
        </w:rPr>
        <w:t>Containers:</w:t>
      </w:r>
      <w:r>
        <w:rPr>
          <w:rFonts w:ascii="Arial" w:hAnsi="Arial"/>
          <w:sz w:val="22"/>
        </w:rPr>
        <w:t xml:space="preserve"> Standard dry boxes, high cube, reefer units, open top, flat rack, bulk, tank, platform, and pallet wide variants.</w:t>
      </w:r>
    </w:p>
    <w:p>
      <w:pPr>
        <w:pStyle w:val="ListBullet"/>
        <w:spacing w:after="60"/>
      </w:pPr>
      <w:r>
        <w:rPr>
          <w:rFonts w:ascii="Arial" w:hAnsi="Arial"/>
          <w:b/>
          <w:sz w:val="22"/>
        </w:rPr>
        <w:t>Road Freight:</w:t>
      </w:r>
      <w:r>
        <w:rPr>
          <w:rFonts w:ascii="Arial" w:hAnsi="Arial"/>
          <w:sz w:val="22"/>
        </w:rPr>
        <w:t xml:space="preserve"> Standard trucks, tilt trailers, mega units, jumbo trailers, dry vans, metal body vehicles, vans, conestoga units, insulated transport, reefers, dump trucks, tank trailers, grain haulers, car carriers, timber trucks, drop-side platforms, open flatbeds, lowboys, livestock haulers, and coil units.</w:t>
      </w:r>
    </w:p>
    <w:p>
      <w:pPr>
        <w:pStyle w:val="ListBullet"/>
        <w:spacing w:after="60"/>
      </w:pPr>
      <w:r>
        <w:rPr>
          <w:rFonts w:ascii="Arial" w:hAnsi="Arial"/>
          <w:b/>
          <w:sz w:val="22"/>
        </w:rPr>
        <w:t>Maritime Fleet:</w:t>
      </w:r>
      <w:r>
        <w:rPr>
          <w:rFonts w:ascii="Arial" w:hAnsi="Arial"/>
          <w:sz w:val="22"/>
        </w:rPr>
        <w:t xml:space="preserve"> Bulk carriers, container ships, general cargo vessels, barges, product tankers, crude carriers, asphalt tankers, chemical vessels, gas carriers, heavy-lift ships, livestock carriers, reefers, Ro-Ro ships, and wood chip carriers.</w:t>
      </w:r>
    </w:p>
    <w:p>
      <w:pPr>
        <w:pStyle w:val="ListBullet"/>
        <w:spacing w:after="60"/>
      </w:pPr>
      <w:r>
        <w:rPr>
          <w:rFonts w:ascii="Arial" w:hAnsi="Arial"/>
          <w:b/>
          <w:sz w:val="22"/>
        </w:rPr>
        <w:t>Rail Fleet:</w:t>
      </w:r>
      <w:r>
        <w:rPr>
          <w:rFonts w:ascii="Arial" w:hAnsi="Arial"/>
          <w:sz w:val="22"/>
        </w:rPr>
        <w:t xml:space="preserve"> Standard covered wagons, semi-wagons, hoppers, flatcars, container platforms, high-side wagons, side dumpers, and tank cars.</w:t>
      </w:r>
    </w:p>
    <w:p>
      <w:pPr>
        <w:pStyle w:val="ListBullet"/>
        <w:spacing w:after="60"/>
      </w:pPr>
      <w:r>
        <w:rPr>
          <w:rFonts w:ascii="Arial" w:hAnsi="Arial"/>
          <w:b/>
          <w:sz w:val="22"/>
        </w:rPr>
        <w:t>Air Transport:</w:t>
      </w:r>
      <w:r>
        <w:rPr>
          <w:rFonts w:ascii="Arial" w:hAnsi="Arial"/>
          <w:sz w:val="22"/>
        </w:rPr>
        <w:t xml:space="preserve"> Cargo aircraft, passenger-freight conversions, Airbus models, Boeing freighters, McDonnell Douglas aircraft, Eurocopter units, Mi freighters, YAK freighters, and chartered flights.</w:t>
      </w:r>
    </w:p>
    <w:p>
      <w:pPr>
        <w:spacing w:after="160"/>
      </w:pPr>
      <w:r>
        <w:rPr>
          <w:rFonts w:ascii="Arial" w:hAnsi="Arial"/>
          <w:sz w:val="22"/>
        </w:rPr>
        <w:t>Asset listings integrate with specialized databases: SeaRates for maritime shipping, LandRates for road and rail transport, and AirRates for aviation routes.</w:t>
      </w:r>
    </w:p>
    <w:p>
      <w:pPr>
        <w:spacing w:after="160"/>
      </w:pPr>
      <w:r>
        <w:rPr>
          <w:rFonts w:ascii="Arial" w:hAnsi="Arial"/>
          <w:sz w:val="22"/>
        </w:rPr>
        <w:t>Every listing card displays vehicle imagery, route geography, container specs, carrier branding, availability dates, payload weight, cubic volume, and rate details. Users can copy direct card links to share across teams.</w:t>
      </w:r>
    </w:p>
    <w:p>
      <w:pPr>
        <w:spacing w:after="160"/>
      </w:pPr>
      <w:r>
        <w:rPr>
          <w:rFonts w:ascii="Arial" w:hAnsi="Arial"/>
          <w:sz w:val="22"/>
        </w:rPr>
        <w:t>Selecting a card allows shippers to specify destination requirements and offer target prices. This digital freight matching framework lets cargo owners review between 10 and 50 organized proposals simultaneously rather than contacting individual suppliers manually.</w:t>
      </w:r>
    </w:p>
    <w:p>
      <w:pPr>
        <w:spacing w:before="280" w:after="120"/>
      </w:pPr>
      <w:r>
        <w:rPr>
          <w:rFonts w:ascii="Arial" w:hAnsi="Arial"/>
          <w:b/>
          <w:sz w:val="28"/>
        </w:rPr>
        <w:t>Capacity Promotion for Transport Operators</w:t>
      </w:r>
    </w:p>
    <w:p>
      <w:pPr>
        <w:spacing w:after="160"/>
      </w:pPr>
      <w:r>
        <w:rPr>
          <w:rFonts w:ascii="Arial" w:hAnsi="Arial"/>
          <w:sz w:val="22"/>
        </w:rPr>
        <w:t>Asset owners publish available capacity through the Virtual Office Profile under the Activity area in the Transport tab.</w:t>
      </w:r>
    </w:p>
    <w:p>
      <w:pPr>
        <w:spacing w:after="160"/>
      </w:pPr>
      <w:r>
        <w:rPr>
          <w:rFonts w:ascii="Arial" w:hAnsi="Arial"/>
          <w:sz w:val="22"/>
        </w:rPr>
        <w:t>Selecting the option to register transport opens a step-by-step entry form:</w:t>
      </w:r>
    </w:p>
    <w:p>
      <w:pPr>
        <w:pStyle w:val="ListBullet"/>
        <w:spacing w:after="60"/>
      </w:pPr>
      <w:r>
        <w:rPr>
          <w:rFonts w:ascii="Arial" w:hAnsi="Arial"/>
          <w:b/>
          <w:sz w:val="22"/>
        </w:rPr>
        <w:t>Primary Information:</w:t>
      </w:r>
      <w:r>
        <w:rPr>
          <w:rFonts w:ascii="Arial" w:hAnsi="Arial"/>
          <w:sz w:val="22"/>
        </w:rPr>
        <w:t xml:space="preserve"> Unit category, vehicle designation, model, registration identifier, and carrier entity.</w:t>
      </w:r>
    </w:p>
    <w:p>
      <w:pPr>
        <w:pStyle w:val="ListBullet"/>
        <w:spacing w:after="60"/>
      </w:pPr>
      <w:r>
        <w:rPr>
          <w:rFonts w:ascii="Arial" w:hAnsi="Arial"/>
          <w:b/>
          <w:sz w:val="22"/>
        </w:rPr>
        <w:t>Technical Parameters:</w:t>
      </w:r>
      <w:r>
        <w:rPr>
          <w:rFonts w:ascii="Arial" w:hAnsi="Arial"/>
          <w:sz w:val="22"/>
        </w:rPr>
        <w:t xml:space="preserve"> Required volume capacity and payload limit, along with optional dimensions.</w:t>
      </w:r>
    </w:p>
    <w:p>
      <w:pPr>
        <w:pStyle w:val="ListBullet"/>
        <w:spacing w:after="60"/>
      </w:pPr>
      <w:r>
        <w:rPr>
          <w:rFonts w:ascii="Arial" w:hAnsi="Arial"/>
          <w:b/>
          <w:sz w:val="22"/>
        </w:rPr>
        <w:t>Location:</w:t>
      </w:r>
      <w:r>
        <w:rPr>
          <w:rFonts w:ascii="Arial" w:hAnsi="Arial"/>
          <w:sz w:val="22"/>
        </w:rPr>
        <w:t xml:space="preserve"> Current positioning and earliest load date.</w:t>
      </w:r>
    </w:p>
    <w:p>
      <w:pPr>
        <w:pStyle w:val="ListBullet"/>
        <w:spacing w:after="60"/>
      </w:pPr>
      <w:r>
        <w:rPr>
          <w:rFonts w:ascii="Arial" w:hAnsi="Arial"/>
          <w:b/>
          <w:sz w:val="22"/>
        </w:rPr>
        <w:t>Target Route (Optional):</w:t>
      </w:r>
      <w:r>
        <w:rPr>
          <w:rFonts w:ascii="Arial" w:hAnsi="Arial"/>
          <w:sz w:val="22"/>
        </w:rPr>
        <w:t xml:space="preserve"> Intended discharge destination and arrival timing to gather less-than-container-load freight.</w:t>
      </w:r>
    </w:p>
    <w:p>
      <w:pPr>
        <w:pStyle w:val="ListBullet"/>
        <w:spacing w:after="60"/>
      </w:pPr>
      <w:r>
        <w:rPr>
          <w:rFonts w:ascii="Arial" w:hAnsi="Arial"/>
          <w:b/>
          <w:sz w:val="22"/>
        </w:rPr>
        <w:t>Pricing Terms (Optional):</w:t>
      </w:r>
      <w:r>
        <w:rPr>
          <w:rFonts w:ascii="Arial" w:hAnsi="Arial"/>
          <w:sz w:val="22"/>
        </w:rPr>
        <w:t xml:space="preserve"> Base charges, minimum rates, loading or discharge demurrage fees, currency preference, and payment terms.</w:t>
      </w:r>
    </w:p>
    <w:p>
      <w:pPr>
        <w:pStyle w:val="ListBullet"/>
        <w:spacing w:after="60"/>
      </w:pPr>
      <w:r>
        <w:rPr>
          <w:rFonts w:ascii="Arial" w:hAnsi="Arial"/>
          <w:b/>
          <w:sz w:val="22"/>
        </w:rPr>
        <w:t>Operational Notes (Optional):</w:t>
      </w:r>
      <w:r>
        <w:rPr>
          <w:rFonts w:ascii="Arial" w:hAnsi="Arial"/>
          <w:sz w:val="22"/>
        </w:rPr>
        <w:t xml:space="preserve"> Detailed service description, equipment photographs, and special handling capabilities.</w:t>
      </w:r>
    </w:p>
    <w:p>
      <w:pPr>
        <w:spacing w:after="160"/>
      </w:pPr>
      <w:r>
        <w:rPr>
          <w:rFonts w:ascii="Arial" w:hAnsi="Arial"/>
          <w:sz w:val="22"/>
        </w:rPr>
        <w:t>Saving the entry automatically lists the vehicle on Logistics Map Transport. Adjustments made in the Virtual Office mirror instantly on the public map. Fleet managers select internal filters to inspect how listings appear to potential clients.</w:t>
      </w:r>
    </w:p>
    <w:p>
      <w:pPr>
        <w:spacing w:after="160"/>
      </w:pPr>
      <w:r>
        <w:rPr>
          <w:rFonts w:ascii="Arial" w:hAnsi="Arial"/>
          <w:sz w:val="22"/>
        </w:rPr>
        <w:t>Direct booking inquiries arrive in the Virtual Office Dashboard under the Requests tab. Operators respond by providing customized pricing, lump-sum offers, itemized cost breakdowns, or Structural Quotes.</w:t>
      </w:r>
    </w:p>
    <w:p>
      <w:pPr>
        <w:spacing w:after="160"/>
      </w:pPr>
      <w:r>
        <w:rPr>
          <w:rFonts w:ascii="Arial" w:hAnsi="Arial"/>
          <w:sz w:val="22"/>
        </w:rPr>
        <w:t>Listing available units helps carriers secure backhaul capacity, fill empty legs, collect FCL or LCL shipments, and expand international reach. Placing assets on the live map improves overall asset utilization and eliminates empty miles on return journeys.</w:t>
      </w:r>
    </w:p>
    <w:p>
      <w:pPr>
        <w:spacing w:before="280" w:after="120"/>
      </w:pPr>
      <w:r>
        <w:rPr>
          <w:rFonts w:ascii="Arial" w:hAnsi="Arial"/>
          <w:b/>
          <w:sz w:val="28"/>
        </w:rPr>
        <w:t>Site Integration &amp; System API Connectivity</w:t>
      </w:r>
    </w:p>
    <w:p>
      <w:pPr>
        <w:spacing w:after="160"/>
      </w:pPr>
      <w:r>
        <w:rPr>
          <w:rFonts w:ascii="Arial" w:hAnsi="Arial"/>
          <w:sz w:val="22"/>
        </w:rPr>
        <w:t>Businesses can embed this white-label tool onto their own web domains. Shippers establish branded procurement portals, while carriers present interactive capacity maps for lead generation. Demo access is available upon request.</w:t>
      </w:r>
    </w:p>
    <w:p>
      <w:pPr>
        <w:spacing w:after="160"/>
      </w:pPr>
      <w:r>
        <w:rPr>
          <w:rFonts w:ascii="Arial" w:hAnsi="Arial"/>
          <w:sz w:val="22"/>
        </w:rPr>
        <w:t>The Logistics Map API synchronizes equipment availability and freight inquiries with enterprise management systems. Core functions include:</w:t>
      </w:r>
    </w:p>
    <w:p>
      <w:pPr>
        <w:pStyle w:val="ListBullet"/>
        <w:spacing w:after="60"/>
      </w:pPr>
      <w:r>
        <w:rPr>
          <w:rFonts w:ascii="Arial" w:hAnsi="Arial"/>
          <w:sz w:val="22"/>
        </w:rPr>
        <w:t>Pushing shipment requests and vehicle listings</w:t>
      </w:r>
    </w:p>
    <w:p>
      <w:pPr>
        <w:pStyle w:val="ListBullet"/>
        <w:spacing w:after="60"/>
      </w:pPr>
      <w:r>
        <w:rPr>
          <w:rFonts w:ascii="Arial" w:hAnsi="Arial"/>
          <w:sz w:val="22"/>
        </w:rPr>
        <w:t>Exporting filtered lead data into existing ERP or TMS platforms</w:t>
      </w:r>
    </w:p>
    <w:p>
      <w:pPr>
        <w:pStyle w:val="ListBullet"/>
        <w:spacing w:after="60"/>
      </w:pPr>
      <w:r>
        <w:rPr>
          <w:rFonts w:ascii="Arial" w:hAnsi="Arial"/>
          <w:sz w:val="22"/>
        </w:rPr>
        <w:t>Managing dynamic freight pricing</w:t>
      </w:r>
    </w:p>
    <w:p>
      <w:pPr>
        <w:spacing w:after="160"/>
      </w:pPr>
      <w:r>
        <w:rPr>
          <w:rFonts w:ascii="Arial" w:hAnsi="Arial"/>
          <w:sz w:val="22"/>
        </w:rPr>
        <w:t>The API integrates with software environments such as SAP or proprietary operational dashboards. Access credentials and technical documentation are available through it.sales@searates.com.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