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Rate Management System: Freight Rate Workflows</w:t>
      </w:r>
    </w:p>
    <w:p>
      <w:r>
        <w:rPr>
          <w:i/>
          <w:sz w:val="18"/>
        </w:rPr>
        <w:t>Meta Title: SeaRates RMS Guide | Freight Rate Management Software</w:t>
        <w:br/>
      </w:r>
      <w:r>
        <w:rPr>
          <w:i/>
          <w:sz w:val="18"/>
        </w:rPr>
        <w:t>Meta Description: Manage sea, air, road, and rail tariffs with SeaRates RMS. Automate quotes, set buy vs sell spreads, bulk upload via Excel, and integrate via API.</w:t>
      </w:r>
    </w:p>
    <w:p/>
    <w:p>
      <w:r>
        <w:t>Logistics operations rely heavily on tariff accuracy. The Rate Management System (RMS) by SeaRates provides freight forwarders, carriers, shippers, and logistics providers with centralized control over their tariffs as a dedicated freight rate management software platform.</w:t>
      </w:r>
    </w:p>
    <w:p>
      <w:r>
        <w:t>RMS supports FCL (full container) and LCL (groupage) freight alongside multimodal shipments, organizing complex pricing into a cloud environment linked to the global SeaRates ecosystem.</w:t>
      </w:r>
    </w:p>
    <w:p>
      <w:pPr>
        <w:pStyle w:val="Heading2"/>
      </w:pPr>
      <w:r>
        <w:t>Access Pathways and Commercial Applications</w:t>
      </w:r>
    </w:p>
    <w:p>
      <w:r>
        <w:t>Access to RMS occurs through multiple operational channels:</w:t>
      </w:r>
    </w:p>
    <w:p>
      <w:pPr>
        <w:pStyle w:val="ListBullet"/>
      </w:pPr>
      <w:r>
        <w:t>Direct setup inside Virtual Office, SeaRates Express, or SeaRates Enterprise.</w:t>
      </w:r>
    </w:p>
    <w:p>
      <w:pPr>
        <w:pStyle w:val="ListBullet"/>
      </w:pPr>
      <w:r>
        <w:t>Membership in the Digital Freight Alliance (DFA) as a Premium Member or authorized Vendor.</w:t>
      </w:r>
    </w:p>
    <w:p>
      <w:pPr>
        <w:pStyle w:val="ListBullet"/>
      </w:pPr>
      <w:r>
        <w:t>Customized RMS builds designed for specialized enterprise structures.</w:t>
      </w:r>
    </w:p>
    <w:p>
      <w:r>
        <w:t>Logistics teams apply the system across four common commercial scenarios:</w:t>
      </w:r>
    </w:p>
    <w:p>
      <w:r>
        <w:t>Freight Forwarders and Carriers</w:t>
        <w:br/>
        <w:t>Logistics providers maintain contractual tariffs in a single hub. Users upload rate sheets within seconds using Excel spreadsheets or manual input. Forwarders add route pricing, set margin percentages, and share rates through the SeaRates platform or branded websites.</w:t>
      </w:r>
    </w:p>
    <w:p>
      <w:r>
        <w:t>Shippers and Traders</w:t>
        <w:br/>
        <w:t>When cargo owners combine SeaRates Enterprise with RMS, they can manage contractual rates and book directly with vendors. Automating error-free quotations cuts quote turnaround time, reducing overall processing time by up to 60%.</w:t>
      </w:r>
    </w:p>
    <w:p>
      <w:r>
        <w:t>Enterprise Teams</w:t>
        <w:br/>
        <w:t>Logistics enterprises store thousands of tariffs across ocean, air, road, and rail modes in a shared database. Operations staff query these records to make rapid booking decisions.</w:t>
      </w:r>
    </w:p>
    <w:p>
      <w:r>
        <w:t>Digital Freight Alliance Members</w:t>
        <w:br/>
        <w:t>DFA members access partner tariffs through network subscriptions. A European forwarder can purchase an Asian partner's rates with pre-calculated margins and list them online, expanding sales into new geographical areas.</w:t>
      </w:r>
    </w:p>
    <w:p>
      <w:pPr>
        <w:pStyle w:val="Heading2"/>
      </w:pPr>
      <w:r>
        <w:t>Managing FCL Rates and Modal Parameters</w:t>
      </w:r>
    </w:p>
    <w:p>
      <w:r>
        <w:t>Opening the Rates and Tariffs section in Virtual Office or Enterprise brings up the primary RMS interface. The dashboard categorizes tariffs across ocean, road, and air modes alongside individual quotation tools.</w:t>
      </w:r>
    </w:p>
    <w:p>
      <w:r>
        <w:t>Choosing Full Container Load brings up modality tables for port-to-port routing as well as origin and destination door connections. Setting up a Port-to-Port tariff follows a specific sequence:</w:t>
      </w:r>
    </w:p>
    <w:p>
      <w:r>
        <w:t>1. Route Details: Origin and destination ports use SeaRates autocomplete for accurate selection, such as Shanghai to Hamburg.</w:t>
      </w:r>
    </w:p>
    <w:p>
      <w:r>
        <w:t>2. Carrier Assignment: A shipping line, such as MSC, attaches to the route record.</w:t>
      </w:r>
    </w:p>
    <w:p>
      <w:r>
        <w:t>3. Container Pricing: Specific container rates are entered per equipment type, such as $2,000 for a 20-foot standard container, $3,500 for a 40-foot standard container, and $4,800 for a 40-foot reefer container.</w:t>
      </w:r>
    </w:p>
    <w:p>
      <w:r>
        <w:t>4. Local Charges: Origin Terminal Handling Charges (OTHC) and Destination Terminal Handling Charges (DTHC) toggle as included or excluded fees.</w:t>
      </w:r>
    </w:p>
    <w:p>
      <w:r>
        <w:t>5. Validity Dates: The system applies a two-week default validity period. Users can list multiple tariffs on the same route if their validity periods have non-overlapping validity ranges offset by a minimum of twenty-four hours.</w:t>
      </w:r>
    </w:p>
    <w:p>
      <w:r>
        <w:t>6. Margin Settings: Adding fixed or percentage commissions defines the buy versus sell rate spread. Leaving commission fields blank displays direct buying rates.</w:t>
      </w:r>
    </w:p>
    <w:p>
      <w:r>
        <w:t>7. Vendor Origin: Users assign vendors from the SeaRates ecosystem or input custom vendor profiles.</w:t>
      </w:r>
    </w:p>
    <w:p>
      <w:r>
        <w:t>8. Operational Parameters: Transit time, CO2 emissions, and ocean freight terms (such as LEO, LILO, or FO basis) attach to the entry. Frequently repeated conditions save as reusable templates.</w:t>
      </w:r>
    </w:p>
    <w:p>
      <w:r>
        <w:t>Table customization tools allow filtering, sorting, column reordering, and hiding specific fields. Tooltips explain common shipping abbreviations to prevent booking errors.</w:t>
      </w:r>
    </w:p>
    <w:p>
      <w:pPr>
        <w:pStyle w:val="Heading2"/>
      </w:pPr>
      <w:r>
        <w:t>Rate Publication, Mass Uploads, and Rate Distribution</w:t>
      </w:r>
    </w:p>
    <w:p>
      <w:r>
        <w:t>Once essential pricing entries, including route, carrier, currency, and rate values, are set, the system triggers automatic rate confirmation. Clicking Publish assigns a distinct reference code for the entry.</w:t>
      </w:r>
    </w:p>
    <w:p>
      <w:r>
        <w:t>Published rates display in summary tables and can be shared immediately. For large-scale data updates, real-time tariff automation processes mass Excel uploads containing thousands of lines. Data exports generate immediate file downloads while the platform monitors rate validity and flags upload errors.</w:t>
      </w:r>
    </w:p>
    <w:p>
      <w:r>
        <w:t>A quick search for specific routes, like Shanghai to Hamburg, shows published rates on SeaRates.com with carrier details, transit durations, and CO2 metrics. Forwarders can send unique booking links directly to customers or embed search interfaces into their websites using Logistics Explorer.</w:t>
      </w:r>
    </w:p>
    <w:p>
      <w:pPr>
        <w:pStyle w:val="Heading2"/>
      </w:pPr>
      <w:r>
        <w:t>Advanced Capabilities and System Integrations</w:t>
      </w:r>
    </w:p>
    <w:p>
      <w:r>
        <w:t>RMS expands into broader digital logistics workflows through supplementary modules and system connections:</w:t>
      </w:r>
    </w:p>
    <w:p>
      <w:pPr>
        <w:pStyle w:val="ListBullet"/>
      </w:pPr>
      <w:r>
        <w:t>Quotation Management System: Combines with RMS to build complex multimodal quotes distributed via unique links.</w:t>
      </w:r>
    </w:p>
    <w:p>
      <w:pPr>
        <w:pStyle w:val="ListBullet"/>
      </w:pPr>
      <w:r>
        <w:t>Fee and Schedule Templates: Stores recurring surcharges, penalty fees, and transit schedules for rapid quote generation.</w:t>
      </w:r>
    </w:p>
    <w:p>
      <w:pPr>
        <w:pStyle w:val="ListBullet"/>
      </w:pPr>
      <w:r>
        <w:t>White-Label Integration: Embeds digital rate management onto a forwarder's website under their own logo, enabling direct customer rate searches and bookings across ocean, air, road, and rail shipments.</w:t>
      </w:r>
    </w:p>
    <w:p>
      <w:pPr>
        <w:pStyle w:val="ListBullet"/>
      </w:pPr>
      <w:r>
        <w:t>API rate integration: Connects the RMS database directly to internal CRM, ERP, TMS, or database software. Connecting the RMS API keeps rate engines synchronized with the global SeaRates database, allowing logistics companies to display rates and process global bookings without manual data re-entry.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