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b/>
          <w:color w:val="111827"/>
          <w:sz w:val="40"/>
        </w:rPr>
        <w:t>SeaRates September 2024 Development Release Updates</w:t>
      </w:r>
    </w:p>
    <w:p>
      <w:r>
        <w:rPr>
          <w:rFonts w:ascii="Calibri" w:hAnsi="Calibri"/>
          <w:i/>
          <w:color w:val="4B5563"/>
          <w:sz w:val="18"/>
        </w:rPr>
        <w:t>Meta Title: SeaRates September 2024 Product Update</w:t>
        <w:br/>
      </w:r>
      <w:r>
        <w:rPr>
          <w:rFonts w:ascii="Calibri" w:hAnsi="Calibri"/>
          <w:i/>
          <w:color w:val="4B5563"/>
          <w:sz w:val="18"/>
        </w:rPr>
        <w:t>Meta Description: SeaRates September 2024 updates bring parcel tracking for 2400+ couriers, Logistics Map transport tools, and expanded ocean freight carrier coverage.</w:t>
        <w:br/>
      </w:r>
    </w:p>
    <w:p/>
    <w:p>
      <w:r>
        <w:rPr>
          <w:rFonts w:ascii="Calibri" w:hAnsi="Calibri"/>
          <w:color w:val="374151"/>
          <w:sz w:val="22"/>
        </w:rPr>
        <w:t>Feedback from logistics teams drives every technical cycle at SeaRates. The September 2024 product update focuses on expanding carrier data pipelines, refining spatial loading logic, and giving operators direct control over multi-modal freight data.</w:t>
      </w:r>
    </w:p>
    <w:p>
      <w:pPr>
        <w:pStyle w:val="Heading2"/>
      </w:pPr>
      <w:r>
        <w:rPr>
          <w:rFonts w:ascii="Calibri" w:hAnsi="Calibri"/>
          <w:b/>
          <w:color w:val="1F2937"/>
          <w:sz w:val="28"/>
        </w:rPr>
        <w:t>Multi-Carrier Parcel Tracking API</w:t>
      </w:r>
    </w:p>
    <w:p>
      <w:r>
        <w:rPr>
          <w:rFonts w:ascii="Calibri" w:hAnsi="Calibri"/>
          <w:color w:val="374151"/>
          <w:sz w:val="22"/>
        </w:rPr>
        <w:t>To address fragmented last-mile data, we released the Parcel Tracking API to provide unified tracking across courier networks. Operators entering a tracking number receive real-time location, global parcel movements, status updates, event logs, and route details, backed by integrations with over 2400 courier service providers documented in our Developer Portal.</w:t>
      </w:r>
    </w:p>
    <w:p>
      <w:pPr>
        <w:pStyle w:val="Heading2"/>
      </w:pPr>
      <w:r>
        <w:rPr>
          <w:rFonts w:ascii="Calibri" w:hAnsi="Calibri"/>
          <w:b/>
          <w:color w:val="1F2937"/>
          <w:sz w:val="28"/>
        </w:rPr>
        <w:t>Logistics Map Transport Interface</w:t>
      </w:r>
    </w:p>
    <w:p>
      <w:r>
        <w:rPr>
          <w:rFonts w:ascii="Calibri" w:hAnsi="Calibri"/>
          <w:color w:val="374151"/>
          <w:sz w:val="22"/>
        </w:rPr>
        <w:t>The Logistics Map tool now features a dedicated Transport tab that links available freight equipment directly to geographical route data. Users can review active transport units on an interactive map, inspect location data, filter assets by type or price range, and copy direct links to specific units. The interface also supports custom setup requests specifying target routes and rates, direct manager chat for instant negotiation, and a Ctrl-click shortcut to open unit cards in fresh browser tabs.</w:t>
      </w:r>
    </w:p>
    <w:p>
      <w:pPr>
        <w:pStyle w:val="Heading2"/>
      </w:pPr>
      <w:r>
        <w:rPr>
          <w:rFonts w:ascii="Calibri" w:hAnsi="Calibri"/>
          <w:b/>
          <w:color w:val="1F2937"/>
          <w:sz w:val="28"/>
        </w:rPr>
        <w:t>Expanded Ocean and Air Freight Tracking</w:t>
      </w:r>
    </w:p>
    <w:p>
      <w:r>
        <w:rPr>
          <w:rFonts w:ascii="Calibri" w:hAnsi="Calibri"/>
          <w:color w:val="374151"/>
          <w:sz w:val="22"/>
        </w:rPr>
        <w:t>Air Cargo Tracking users can now click a Follow button on any shipment card to save it directly to their dashboard. On the ocean freight side, container tracking added support for Transit Fruits Eagle and NVO Consolidation Lines, bringing total carrier coverage to 178 shipping lines. For API integrations, we updated size and type determination logic, refreshed all API v3 response examples, and added field documentation for the container size_type parameter. The web tracking tool now displays official shipping line logos on shipment cards and introduces account limit management for bulk Excel tracking, letting teams monitor shipments on SeaRates.com and via batch spreadsheet uploads simultaneously within their subscription plan.</w:t>
      </w:r>
    </w:p>
    <w:p>
      <w:pPr>
        <w:pStyle w:val="Heading2"/>
      </w:pPr>
      <w:r>
        <w:rPr>
          <w:rFonts w:ascii="Calibri" w:hAnsi="Calibri"/>
          <w:b/>
          <w:color w:val="1F2937"/>
          <w:sz w:val="28"/>
        </w:rPr>
        <w:t>Ro-Ro Vessel Schedules Expansion</w:t>
      </w:r>
    </w:p>
    <w:p>
      <w:r>
        <w:rPr>
          <w:rFonts w:ascii="Calibri" w:hAnsi="Calibri"/>
          <w:color w:val="374151"/>
          <w:sz w:val="22"/>
        </w:rPr>
        <w:t>Schedules coverage expanded across seven major shipping lines for Ro-Ro vessel types searchable by Points, Vessel, and Port. Supported lines now include Evergreen PIL HR Lines, Great White Fleet, Wallenius Wilhelmsen, Grimaldi, Shipping Corporation of India, Emirates, and Sallaum Lines.</w:t>
      </w:r>
    </w:p>
    <w:p>
      <w:pPr>
        <w:pStyle w:val="Heading2"/>
      </w:pPr>
      <w:r>
        <w:rPr>
          <w:rFonts w:ascii="Calibri" w:hAnsi="Calibri"/>
          <w:b/>
          <w:color w:val="1F2937"/>
          <w:sz w:val="28"/>
        </w:rPr>
        <w:t>Load Calculator and Spatial Algorithms</w:t>
      </w:r>
    </w:p>
    <w:p>
      <w:r>
        <w:rPr>
          <w:rFonts w:ascii="Calibri" w:hAnsi="Calibri"/>
          <w:color w:val="374151"/>
          <w:sz w:val="22"/>
        </w:rPr>
        <w:t>Web updates to Load Calculator give planners better control when building container stuffing arrangements. A Disable stacking checkbox in Stuffing settings restricts cargo placement to a single layer, while updated Mass and Height fields simplify limit adjustments and set Height as the default third dimension in Spacing settings. The step-by-step packing algorithm also processes uniform cargo batches more efficiently when containers are loaded with identical boxes.</w:t>
      </w:r>
    </w:p>
    <w:p>
      <w:pPr>
        <w:pStyle w:val="Heading2"/>
      </w:pPr>
      <w:r>
        <w:rPr>
          <w:rFonts w:ascii="Calibri" w:hAnsi="Calibri"/>
          <w:b/>
          <w:color w:val="1F2937"/>
          <w:sz w:val="28"/>
        </w:rPr>
        <w:t>Geocoding, Distance Logic, and System Upgrades</w:t>
      </w:r>
    </w:p>
    <w:p>
      <w:r>
        <w:rPr>
          <w:rFonts w:ascii="Calibri" w:hAnsi="Calibri"/>
          <w:color w:val="374151"/>
          <w:sz w:val="22"/>
        </w:rPr>
        <w:t>Distance &amp; Time API requests now use improved logic to pinpoint nearest seaports and locations accurately. Geocoding API and Autocomplete endpoints added support for UN/LOCODES containing numerical digits, alongside improved postcode requests, sea region boundaries, and zip code query processing. Across platform tools, Virtual Office added static subscription cards in the Tools tab to monitor monthly credit usage, while Logistics Explorer added a Spanish interface option and backend speed optimizations. Request a Quote and Quick Request forms now support additional transportation options for Land FTL, and users can register or log in using their Apple accounts.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