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14 Release Notes: IT Updates and Integrations</w:t>
      </w:r>
    </w:p>
    <w:p>
      <w:r>
        <w:rPr>
          <w:i/>
          <w:color w:val="646464"/>
          <w:sz w:val="18"/>
        </w:rPr>
        <w:t>Meta Title: SeaRates IT Updates | Week 14, 2025</w:t>
        <w:br/>
        <w:t>Meta Description: SeaRates Week 14 updates: multi-carrier ocean tracking API expansion, real-time air cargo visibility, vessel schedule tracking, and Freight Index.</w:t>
      </w:r>
    </w:p>
    <w:p/>
    <w:p>
      <w:r>
        <w:t>Here is the weekly rundown of IT changes deployed across SeaRates during Week 14. If you missed our previous engineering notes, review the Week 13 updates.</w:t>
      </w:r>
    </w:p>
    <w:p>
      <w:pPr>
        <w:pStyle w:val="Heading2"/>
      </w:pPr>
      <w:r>
        <w:t>Ocean Tracking Expansion</w:t>
      </w:r>
    </w:p>
    <w:p>
      <w:r>
        <w:t>Four new ocean lines are live in our Tracking System: Lucky Logistics, Globelink, Transmar, and Boxline. Their addition expands our multi-carrier ocean tracking API to 196 integrated providers. Check the full list in our API documentation.</w:t>
      </w:r>
    </w:p>
    <w:p>
      <w:r>
        <w:t>We also updated data integrations for eight active ocean carriers:</w:t>
      </w:r>
    </w:p>
    <w:p>
      <w:pPr>
        <w:pStyle w:val="ListBullet"/>
      </w:pPr>
      <w:r>
        <w:t>Atlantic Container Line (ACL)</w:t>
      </w:r>
    </w:p>
    <w:p>
      <w:pPr>
        <w:pStyle w:val="ListBullet"/>
      </w:pPr>
      <w:r>
        <w:t>Seaboard Marine</w:t>
      </w:r>
    </w:p>
    <w:p>
      <w:pPr>
        <w:pStyle w:val="ListBullet"/>
      </w:pPr>
      <w:r>
        <w:t>Gold Star Line</w:t>
      </w:r>
    </w:p>
    <w:p>
      <w:pPr>
        <w:pStyle w:val="ListBullet"/>
      </w:pPr>
      <w:r>
        <w:t>Hillebrand Gori</w:t>
      </w:r>
    </w:p>
    <w:p>
      <w:pPr>
        <w:pStyle w:val="ListBullet"/>
      </w:pPr>
      <w:r>
        <w:t>Orient Overseas Container Line (OOCL)</w:t>
      </w:r>
    </w:p>
    <w:p>
      <w:pPr>
        <w:pStyle w:val="ListBullet"/>
      </w:pPr>
      <w:r>
        <w:t>North Sea Container Line (NCL)</w:t>
      </w:r>
    </w:p>
    <w:p>
      <w:pPr>
        <w:pStyle w:val="ListBullet"/>
      </w:pPr>
      <w:r>
        <w:t>Altun Logistics</w:t>
      </w:r>
    </w:p>
    <w:p>
      <w:pPr>
        <w:pStyle w:val="ListBullet"/>
      </w:pPr>
      <w:r>
        <w:t>SITC Container Lines</w:t>
      </w:r>
    </w:p>
    <w:p>
      <w:pPr>
        <w:pStyle w:val="Heading2"/>
      </w:pPr>
      <w:r>
        <w:t>Air Cargo Visibility</w:t>
      </w:r>
    </w:p>
    <w:p>
      <w:r>
        <w:t>For air freight, we refined integration pipelines for Qantas, FedEx Express, and Virgin Australia. These technical adjustments deliver higher data accuracy and stronger real-time air cargo visibility across active shipments.</w:t>
      </w:r>
    </w:p>
    <w:p>
      <w:pPr>
        <w:pStyle w:val="Heading2"/>
      </w:pPr>
      <w:r>
        <w:t>Vessel Schedule Tracking Updates</w:t>
      </w:r>
    </w:p>
    <w:p>
      <w:r>
        <w:t>We updated vessel schedule tracking routines to improve reliability across several major ocean lines.</w:t>
      </w:r>
    </w:p>
    <w:p>
      <w:r>
        <w:t>Points-based schedule queries are now improved for:</w:t>
      </w:r>
    </w:p>
    <w:p>
      <w:pPr>
        <w:pStyle w:val="ListBullet"/>
      </w:pPr>
      <w:r>
        <w:t>CMA CGM</w:t>
      </w:r>
    </w:p>
    <w:p>
      <w:pPr>
        <w:pStyle w:val="ListBullet"/>
      </w:pPr>
      <w:r>
        <w:t>APL</w:t>
      </w:r>
    </w:p>
    <w:p>
      <w:pPr>
        <w:pStyle w:val="ListBullet"/>
      </w:pPr>
      <w:r>
        <w:t>CNC</w:t>
      </w:r>
    </w:p>
    <w:p>
      <w:pPr>
        <w:pStyle w:val="ListBullet"/>
      </w:pPr>
      <w:r>
        <w:t>ANL</w:t>
      </w:r>
    </w:p>
    <w:p>
      <w:pPr>
        <w:pStyle w:val="ListBullet"/>
      </w:pPr>
      <w:r>
        <w:t>Shipping Corporation of India</w:t>
      </w:r>
    </w:p>
    <w:p>
      <w:r>
        <w:t>Vessel-based schedule lookups received specific parser adjustments for Tarros.</w:t>
      </w:r>
    </w:p>
    <w:p>
      <w:pPr>
        <w:pStyle w:val="Heading2"/>
      </w:pPr>
      <w:r>
        <w:t>Multilingual Freight Index Region Analytics</w:t>
      </w:r>
    </w:p>
    <w:p>
      <w:r>
        <w:t>Our Freight Index tool now supports regional queries across eleven major languages. Logistics teams can run Freight Index region analytics directly in English, Mandarin, Hindi, Spanish, French, Arabic, Bengali, Portuguese, Russian, German, and Ukrainian.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