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Release Notes: Week 15, 2025</w:t>
      </w:r>
    </w:p>
    <w:p>
      <w:r>
        <w:rPr>
          <w:i/>
          <w:sz w:val="18"/>
        </w:rPr>
        <w:t>Meta Title: SeaRates Product Updates | Week 15, 2025</w:t>
        <w:br/>
      </w:r>
      <w:r>
        <w:rPr>
          <w:i/>
          <w:sz w:val="18"/>
        </w:rPr>
        <w:t>Meta Description: SeaRates added Euroconsol and Hugo Stinnes to its tracking network, updated Terminal API, air cargo tracking, and added instant chat to Logistics Explorer.</w:t>
        <w:br/>
      </w:r>
    </w:p>
    <w:p>
      <w:r>
        <w:t>Logistics data stays useful only when the connections behind it remain fresh.</w:t>
      </w:r>
    </w:p>
    <w:p>
      <w:r>
        <w:t>Our tracking network now includes Euroconsol and Hugo Stinnes. That addition brings our integrated carrier roster up to 198 providers. The complete list remains available inside our API documentation.</w:t>
      </w:r>
    </w:p>
    <w:p>
      <w:r>
        <w:t>We also updated tracking integrations for several ocean shipping lines, including DSV Ocean Transport, Gold Star Line, and ZIM, as well as CEVA Logistics, Yang Ming, and Orient Overseas Container Line (OOCL). For ground freight, road tracking support was updated for TForce Freight among other providers.</w:t>
      </w:r>
    </w:p>
    <w:p>
      <w:r>
        <w:t>The Terminal API expanded its coverage with two new facilities: CSP Abu Dhabi and CSP Zeebrugge.</w:t>
      </w:r>
    </w:p>
    <w:p>
      <w:r>
        <w:t>Air cargo tracking saw updates across four carriers: Cathay Pacific Airways, China Cargo Airlines, Juneyao Airlines, and Malaysia Airlines.</w:t>
      </w:r>
    </w:p>
    <w:p>
      <w:r>
        <w:t>For rate searches on SeaRates.com, registered users now have access to live support directly alongside the rate result card.</w:t>
      </w:r>
    </w:p>
    <w:p>
      <w:r>
        <w:t>Ship Schedules received structural updates across multiple search modes. Point-based searches were updated for ONE and Shipping Corporation of India. Port-based searches received enhancements for Yang Ming. Vessel-level search tracking was updated for ZIM, Namsung, CMA CGM, APL, CNC, and ANL.</w:t>
      </w:r>
    </w:p>
    <w:p>
      <w:r>
        <w:t>Alongside these updates, SeaRates continues supporting operations across its broader platform suite. Key components include SeaRates AI 1.0, the Vessel Tracking API v1, and the Unified Tracking System. Additional capabilities span the Warehouse tab on Logistics Map, Load Calculator Web 3.0, Parcel Tracking Web, Road Tracking API, and the main Map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