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Arial" w:hAnsi="Arial"/>
          <w:b/>
          <w:color w:val="111827"/>
          <w:sz w:val="40"/>
        </w:rPr>
        <w:t>SeaRates May 2025 Updates: Warehousing, Tariffs, Tracking</w:t>
      </w:r>
    </w:p>
    <w:p>
      <w:pPr>
        <w:spacing w:after="80"/>
      </w:pPr>
      <w:r>
        <w:rPr>
          <w:rFonts w:ascii="Arial" w:hAnsi="Arial"/>
          <w:b/>
          <w:i/>
          <w:sz w:val="18"/>
        </w:rPr>
        <w:t xml:space="preserve">Meta Title: </w:t>
      </w:r>
      <w:r>
        <w:rPr>
          <w:rFonts w:ascii="Arial" w:hAnsi="Arial"/>
          <w:i/>
          <w:sz w:val="18"/>
        </w:rPr>
        <w:t>SeaRates May 2025 Product Release and Platform Updates</w:t>
      </w:r>
    </w:p>
    <w:p>
      <w:pPr>
        <w:spacing w:after="360"/>
      </w:pPr>
      <w:r>
        <w:rPr>
          <w:rFonts w:ascii="Arial" w:hAnsi="Arial"/>
          <w:b/>
          <w:i/>
          <w:sz w:val="18"/>
        </w:rPr>
        <w:t xml:space="preserve">Meta Description: </w:t>
      </w:r>
      <w:r>
        <w:rPr>
          <w:rFonts w:ascii="Arial" w:hAnsi="Arial"/>
          <w:i/>
          <w:sz w:val="18"/>
        </w:rPr>
        <w:t>Explore May 2025 digital logistics platform updates: warehouse facilities management, 25 exception types, AI rate updates, and API additions.</w:t>
      </w:r>
    </w:p>
    <w:p>
      <w:pPr>
        <w:pStyle w:val="Heading2"/>
        <w:spacing w:before="280" w:after="120"/>
      </w:pPr>
      <w:r>
        <w:rPr>
          <w:rFonts w:ascii="Arial" w:hAnsi="Arial"/>
          <w:b/>
          <w:color w:val="1F2937"/>
          <w:sz w:val="28"/>
        </w:rPr>
        <w:t>Virtual Office Warehouse Asset Handling</w:t>
      </w:r>
    </w:p>
    <w:p>
      <w:pPr>
        <w:spacing w:after="160" w:line="276" w:lineRule="auto"/>
      </w:pPr>
      <w:r>
        <w:rPr>
          <w:rFonts w:ascii="Arial" w:hAnsi="Arial"/>
          <w:color w:val="374151"/>
          <w:sz w:val="22"/>
        </w:rPr>
        <w:t>The Virtual Office profile now features a dedicated Facilities management panel. Logistical teams can add, edit, import, and account for warehouse assets alongside offered services from a single interface. External customers and business partners can receive shared access to inspect listed services and book warehouse capacity directly. This warehouse facilities management system expands internal operational visibility while providing a direct channel to market storage capacity.</w:t>
      </w:r>
    </w:p>
    <w:p>
      <w:pPr>
        <w:pStyle w:val="Heading2"/>
        <w:spacing w:before="280" w:after="120"/>
      </w:pPr>
      <w:r>
        <w:rPr>
          <w:rFonts w:ascii="Arial" w:hAnsi="Arial"/>
          <w:b/>
          <w:color w:val="1F2937"/>
          <w:sz w:val="28"/>
        </w:rPr>
        <w:t>Upgraded Tracking for Road, Ocean, and Air</w:t>
      </w:r>
    </w:p>
    <w:p>
      <w:pPr>
        <w:spacing w:after="160" w:line="276" w:lineRule="auto"/>
      </w:pPr>
      <w:r>
        <w:rPr>
          <w:rFonts w:ascii="Arial" w:hAnsi="Arial"/>
          <w:color w:val="374151"/>
          <w:sz w:val="22"/>
        </w:rPr>
        <w:t>Our latest digital logistics platform updates expand visibility tools across sea, road, and air operations.</w:t>
      </w:r>
    </w:p>
    <w:p>
      <w:pPr>
        <w:spacing w:after="160" w:line="276" w:lineRule="auto"/>
      </w:pPr>
      <w:r>
        <w:rPr>
          <w:rFonts w:ascii="Arial" w:hAnsi="Arial"/>
          <w:color w:val="374151"/>
          <w:sz w:val="22"/>
        </w:rPr>
        <w:t>The Container Tracking tool received targeted container tracking exception management upgrades inside the Exceptions tab. Logic processing for all 25 exception types has been refined for higher precision. A new visual status field displays color-coded markers for timeline shifts: green indicators highlight earlier arrivals, while orange marks flag delays alongside revised dates. On the API side, container type and size detection logic now parses raw shipping line descriptions more effectively. The underlying predictive ETA shipping technology has also been updated to refine estimated delivery timelines.</w:t>
      </w:r>
    </w:p>
    <w:p>
      <w:pPr>
        <w:spacing w:after="160" w:line="276" w:lineRule="auto"/>
      </w:pPr>
      <w:r>
        <w:rPr>
          <w:rFonts w:ascii="Arial" w:hAnsi="Arial"/>
          <w:color w:val="374151"/>
          <w:sz w:val="22"/>
        </w:rPr>
        <w:t>For overland movement, our multimodal road tracking carrier integration now includes Kuehne + Nagel (KN). Developer Portal users can consult the API documentation for the full index of supported road carriers.</w:t>
      </w:r>
    </w:p>
    <w:p>
      <w:pPr>
        <w:spacing w:after="160" w:line="276" w:lineRule="auto"/>
      </w:pPr>
      <w:r>
        <w:rPr>
          <w:rFonts w:ascii="Arial" w:hAnsi="Arial"/>
          <w:color w:val="374151"/>
          <w:sz w:val="22"/>
        </w:rPr>
        <w:t>Air Tracking integrated support for two regional carriers, My Indo Airlines alongside Thai Vietair, bringing overall aviation network coverage to 446 commercial flight providers.</w:t>
      </w:r>
    </w:p>
    <w:p>
      <w:pPr>
        <w:spacing w:after="160" w:line="276" w:lineRule="auto"/>
      </w:pPr>
      <w:r>
        <w:rPr>
          <w:rFonts w:ascii="Arial" w:hAnsi="Arial"/>
          <w:color w:val="374151"/>
          <w:sz w:val="22"/>
        </w:rPr>
        <w:t>Developers can now access complete terminal tracking API integration documentation on the Developer Portal. This endpoint links directly into our global database to support terminal tracking across worldwide port facilities.</w:t>
      </w:r>
    </w:p>
    <w:p>
      <w:pPr>
        <w:pStyle w:val="Heading2"/>
        <w:spacing w:before="280" w:after="120"/>
      </w:pPr>
      <w:r>
        <w:rPr>
          <w:rFonts w:ascii="Arial" w:hAnsi="Arial"/>
          <w:b/>
          <w:color w:val="1F2937"/>
          <w:sz w:val="28"/>
        </w:rPr>
        <w:t>Rate Management and Custom AI Search</w:t>
      </w:r>
    </w:p>
    <w:p>
      <w:pPr>
        <w:spacing w:after="160" w:line="276" w:lineRule="auto"/>
      </w:pPr>
      <w:r>
        <w:rPr>
          <w:rFonts w:ascii="Arial" w:hAnsi="Arial"/>
          <w:color w:val="374151"/>
          <w:sz w:val="22"/>
        </w:rPr>
        <w:t>Rate management system tariff automation receives major updates for cargo pricing workflows:</w:t>
      </w:r>
    </w:p>
    <w:p>
      <w:pPr>
        <w:pStyle w:val="ListBullet"/>
        <w:spacing w:after="80"/>
      </w:pPr>
      <w:r>
        <w:rPr>
          <w:rFonts w:ascii="Arial" w:hAnsi="Arial"/>
          <w:color w:val="374151"/>
          <w:sz w:val="22"/>
        </w:rPr>
        <w:t>FCL and FTL tariffs can be configured using three pricing models: 'Flat' (full cost), 'per km', or 'flat + per km'.</w:t>
      </w:r>
    </w:p>
    <w:p>
      <w:pPr>
        <w:pStyle w:val="ListBullet"/>
        <w:spacing w:after="80"/>
      </w:pPr>
      <w:r>
        <w:rPr>
          <w:rFonts w:ascii="Arial" w:hAnsi="Arial"/>
          <w:color w:val="374151"/>
          <w:sz w:val="22"/>
        </w:rPr>
        <w:t>LCL listings support toggling between ft³ and m³ volume units.</w:t>
      </w:r>
    </w:p>
    <w:p>
      <w:pPr>
        <w:pStyle w:val="ListBullet"/>
        <w:spacing w:after="80"/>
      </w:pPr>
      <w:r>
        <w:rPr>
          <w:rFonts w:ascii="Arial" w:hAnsi="Arial"/>
          <w:color w:val="374151"/>
          <w:sz w:val="22"/>
        </w:rPr>
        <w:t>Air tariffs now support D2P, D2D, and P2D movement types.</w:t>
      </w:r>
    </w:p>
    <w:p>
      <w:pPr>
        <w:pStyle w:val="ListBullet"/>
        <w:spacing w:after="80"/>
      </w:pPr>
      <w:r>
        <w:rPr>
          <w:rFonts w:ascii="Arial" w:hAnsi="Arial"/>
          <w:color w:val="374151"/>
          <w:sz w:val="22"/>
        </w:rPr>
        <w:t>Container types can be batched into groups simultaneously (such as grouping 20ST, 20HC, and 20REF under a single group 20).</w:t>
      </w:r>
    </w:p>
    <w:p>
      <w:pPr>
        <w:pStyle w:val="ListBullet"/>
        <w:spacing w:after="80"/>
      </w:pPr>
      <w:r>
        <w:rPr>
          <w:rFonts w:ascii="Arial" w:hAnsi="Arial"/>
          <w:color w:val="374151"/>
          <w:sz w:val="22"/>
        </w:rPr>
        <w:t>Column headers in the tariff table include clear tooltips explaining input rules.</w:t>
      </w:r>
    </w:p>
    <w:p>
      <w:pPr>
        <w:spacing w:after="160" w:line="276" w:lineRule="auto"/>
      </w:pPr>
      <w:r>
        <w:rPr>
          <w:rFonts w:ascii="Arial" w:hAnsi="Arial"/>
          <w:color w:val="374151"/>
          <w:sz w:val="22"/>
        </w:rPr>
        <w:t>Our freight rate calculator logistics explorer workflow is now backed by SeaRates AI's custom language model. Freight rate queries process with higher accuracy, directing users straight into the Logistics Explorer routing engine.</w:t>
      </w:r>
    </w:p>
    <w:p>
      <w:pPr>
        <w:spacing w:after="160" w:line="276" w:lineRule="auto"/>
      </w:pPr>
      <w:r>
        <w:rPr>
          <w:rFonts w:ascii="Arial" w:hAnsi="Arial"/>
          <w:color w:val="374151"/>
          <w:sz w:val="22"/>
        </w:rPr>
        <w:t>Location autocomplete services now offer translations across eight primary languages, spanning 217 capital cities, 35,000 maritime harbors, and 100 key global terminals. Lookup algorithms for over 200 premier international ports were also restructured to accelerate query results.</w:t>
      </w:r>
    </w:p>
    <w:p>
      <w:pPr>
        <w:pStyle w:val="Heading2"/>
        <w:spacing w:before="280" w:after="120"/>
      </w:pPr>
      <w:r>
        <w:rPr>
          <w:rFonts w:ascii="Arial" w:hAnsi="Arial"/>
          <w:b/>
          <w:color w:val="1F2937"/>
          <w:sz w:val="28"/>
        </w:rPr>
        <w:t>Tool Subscriptions and Navigation Improvements</w:t>
      </w:r>
    </w:p>
    <w:p>
      <w:pPr>
        <w:spacing w:after="160" w:line="276" w:lineRule="auto"/>
      </w:pPr>
      <w:r>
        <w:rPr>
          <w:rFonts w:ascii="Arial" w:hAnsi="Arial"/>
          <w:color w:val="374151"/>
          <w:sz w:val="22"/>
        </w:rPr>
        <w:t>Dedicated Pricing pages are now live for Air Tracking tools, Freight Index analytics, the CO2 Calculator, Ship Schedules, plus DFA Membership modules. Users can review tier structures and select packages matching their operational volume.</w:t>
      </w:r>
    </w:p>
    <w:p>
      <w:pPr>
        <w:spacing w:after="160" w:line="276" w:lineRule="auto"/>
      </w:pPr>
      <w:r>
        <w:rPr>
          <w:rFonts w:ascii="Arial" w:hAnsi="Arial"/>
          <w:color w:val="374151"/>
          <w:sz w:val="22"/>
        </w:rPr>
        <w:t>Inside the Ship Schedules interface, credit counters now display remaining balances alongside a direct Pricing link to renew access.</w:t>
      </w:r>
    </w:p>
    <w:p>
      <w:pPr>
        <w:spacing w:after="160" w:line="276" w:lineRule="auto"/>
      </w:pPr>
      <w:r>
        <w:rPr>
          <w:rFonts w:ascii="Arial" w:hAnsi="Arial"/>
          <w:color w:val="374151"/>
          <w:sz w:val="22"/>
        </w:rPr>
        <w:t>The Carbon Emissions Calculator interface incorporates a dedicated subscription button for monitoring usage limits and upgrading plans. The CO2 Calculator API now enables coordinate-based spatial queries whenever carrier searches fail to locate matching data.</w:t>
      </w:r>
    </w:p>
    <w:p>
      <w:pPr>
        <w:spacing w:after="160" w:line="276" w:lineRule="auto"/>
      </w:pPr>
      <w:r>
        <w:rPr>
          <w:rFonts w:ascii="Arial" w:hAnsi="Arial"/>
          <w:color w:val="374151"/>
          <w:sz w:val="22"/>
        </w:rPr>
        <w:t>Teams requiring tailored enterprise setups can request custom software builds through the Request an IT Quote form or contact the SeaRates team directly.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