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SeaRates Expands Multi-Carrier Tracking to 207 Lines in Week 29 Update</w:t>
      </w:r>
    </w:p>
    <w:p>
      <w:r>
        <w:rPr>
          <w:i/>
          <w:color w:val="646464"/>
          <w:sz w:val="18"/>
        </w:rPr>
        <w:t>Meta Title: SeaRates Week 29 Updates: Expanded Carrier Tracking</w:t>
        <w:br/>
        <w:t>Meta Description: SeaRates Week 29 release notes: 4 new container lines added (207 total), updated air and rail tracking, new booking dates, and upcoming platform tools.</w:t>
      </w:r>
    </w:p>
    <w:p/>
    <w:p>
      <w:r>
        <w:t>SeaRates integrated four new shipping lines into its container tracking system during Week 29, 2025: Transliner, Goodrich Maritime, KLN Logistics Group Limited, and United Africa Feeder Line. These additions bring the platform's total supported container carriers to 207.</w:t>
      </w:r>
    </w:p>
    <w:p>
      <w:pPr>
        <w:pStyle w:val="Heading2"/>
      </w:pPr>
      <w:r>
        <w:t>Container, Air, and Rail Tracking Enhancements</w:t>
      </w:r>
    </w:p>
    <w:p>
      <w:r>
        <w:t>Along with expanding carrier coverage, technical refinements went live for fourteen existing ocean carriers, including Maersk, CMA CGM, Hapag-Lloyd, ZIM, DHL Global Forwarding, Avana Logistek, Unifeeder, Viasea Shipping, Sealead Shipping, Gold Star Line, Blue Water Lines (BWL), Hellmann Worldwide Logistics, AMASS, and Sinotrans Container Lines. The container tracking tool also received updated autodetect logic to improve auto-identification of shipping line tracking numbers.</w:t>
      </w:r>
    </w:p>
    <w:p>
      <w:r>
        <w:t>Intermodal visibility updates extended beyond ocean freight. Air cargo tracking saw data integration improvements for four airlines, namely British Airways, FITS Aviation, IBC Airways, and DHL Aviation. On rail networks, operational connections were updated for KiwiRail and Tiedada Group.</w:t>
      </w:r>
    </w:p>
    <w:p>
      <w:pPr>
        <w:pStyle w:val="Heading2"/>
      </w:pPr>
      <w:r>
        <w:t>Booking System and Financial Management Adjustments</w:t>
      </w:r>
    </w:p>
    <w:p>
      <w:r>
        <w:t>The internal booking workspace introduced targeted interface changes. Users can now inspect paid invoices directly inside the Payment tab. Over on the Tracking tab, two dedicated fields ('Delivery' and 'Empty return') now display specific dates for cargo drop-off and empty container return. The Finance tab underwent background updates for user experience improvements.</w:t>
      </w:r>
    </w:p>
    <w:p>
      <w:pPr>
        <w:pStyle w:val="Heading2"/>
      </w:pPr>
      <w:r>
        <w:t>Upcoming Platform Capabilities</w:t>
      </w:r>
    </w:p>
    <w:p>
      <w:r>
        <w:t>Engineering teams are finalizing several tools scheduled for near-term deployment:</w:t>
      </w:r>
    </w:p>
    <w:p>
      <w:pPr>
        <w:pStyle w:val="ListBullet"/>
      </w:pPr>
      <w:r>
        <w:t>Logistics Map 'Warehouse' tab</w:t>
      </w:r>
    </w:p>
    <w:p>
      <w:pPr>
        <w:pStyle w:val="ListBullet"/>
      </w:pPr>
      <w:r>
        <w:t>Load Calculator Web 3.0 featuring a revised interface and new features</w:t>
      </w:r>
    </w:p>
    <w:p>
      <w:pPr>
        <w:pStyle w:val="ListBullet"/>
      </w:pPr>
      <w:r>
        <w:t>Dedicated Map Platform</w:t>
      </w:r>
    </w:p>
    <w:p>
      <w:pPr>
        <w:pStyle w:val="ListBullet"/>
      </w:pPr>
      <w:r>
        <w:t>AI Assistant integrated directly into Ship Schedules</w:t>
      </w:r>
    </w:p>
    <w:p>
      <w:pPr>
        <w:pStyle w:val="ListBullet"/>
      </w:pPr>
      <w:r>
        <w:t>Unified Inbox connected with Logistics Explorer, Bookings, and Notifications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