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Update: Expanded Tracking and API Tools</w:t>
      </w:r>
    </w:p>
    <w:p>
      <w:r>
        <w:rPr>
          <w:b/>
          <w:sz w:val="18"/>
        </w:rPr>
        <w:t xml:space="preserve">Meta Title: </w:t>
      </w:r>
      <w:r>
        <w:rPr>
          <w:i/>
          <w:sz w:val="18"/>
        </w:rPr>
        <w:t>SeaRates Updates Week 42: New Carriers and API Features</w:t>
      </w:r>
    </w:p>
    <w:p>
      <w:r>
        <w:rPr>
          <w:b/>
          <w:sz w:val="18"/>
        </w:rPr>
        <w:t xml:space="preserve">Meta Description: </w:t>
      </w:r>
      <w:r>
        <w:rPr>
          <w:i/>
          <w:sz w:val="18"/>
        </w:rPr>
        <w:t>Discover SeaRates Week 42 updates with 218 supported container lines, improved Geocoding API, air tracking tweaks, and upcoming tools.</w:t>
      </w:r>
    </w:p>
    <w:p/>
    <w:p>
      <w:r>
        <w:t>Freight data moves best when software gets out of its own way.</w:t>
      </w:r>
    </w:p>
    <w:p>
      <w:r>
        <w:t>We hit a minor milestone in week 42 with three new ocean lines added to container tracking: Danmar Lines, Ti2 Container Lines, and Famous Pacific Shipping. That brings our coverage count to 218 ocean carriers. On the API side, response handling for cached queries got a systematic tune-up, while the web interface now links directly with Route Planner to follow internal tracking numbers without manual cross-checking.</w:t>
      </w:r>
    </w:p>
    <w:p>
      <w:r>
        <w:t>We also updated tracking mechanics across fifteen established container lines: Hapag-Lloyd, CMA CGM, Pan Continental Shipping, Medkon Lines, Maersk, Sealead Shipping, COSCO, CK Line, Admiral Container Lines, DHL Global Forwarding, Dole Ocean Cargo Express, T.S. Lines, Yang Ming, W.E.C. (West European Container) Lines, and Turkon. These updates ensure tracking remains accurate and reliable for all supported shipping lines.</w:t>
      </w:r>
    </w:p>
    <w:p>
      <w:r>
        <w:t>Air cargo tracking saw parallel upgrades. We refined how the API pulls information from carrier feeds and cached records, alongside routine maintenance for Air Canada, Delta Air Lines, and Smart Wings.</w:t>
      </w:r>
    </w:p>
    <w:p>
      <w:r>
        <w:t>Location routing relies on clear spatial data, which led to targeted improvements in geocoding location intelligence. The Geocoding API received updates for smoother deployment and consistent uptime throughout the SeaRates toolset. Developers can now filter queries specifically by seaports, airports, countries, or cities.</w:t>
      </w:r>
    </w:p>
    <w:p>
      <w:r>
        <w:t>Schedules data received updates as well. Hoegh Autoliners added point-to-point routing support, while vessel tracking expanded for both Hoegh Autoliners and AEL. Integration protocols were refined for COSCO, Matson, and Interasia Lines across point and vessel queries.</w:t>
      </w:r>
    </w:p>
    <w:p>
      <w:r>
        <w:t>In the top drop-down menu under References, users can find the Carrier Directory for quick access to transport providers.</w:t>
      </w:r>
    </w:p>
    <w:p>
      <w:r>
        <w:t>Looking ahead, development continues on several upcoming projects:</w:t>
      </w:r>
    </w:p>
    <w:p>
      <w:pPr>
        <w:pStyle w:val="ListBullet"/>
      </w:pPr>
      <w:r>
        <w:t>Unified Tracking System</w:t>
      </w:r>
    </w:p>
    <w:p>
      <w:pPr>
        <w:pStyle w:val="ListBullet"/>
      </w:pPr>
      <w:r>
        <w:t>Logistics Map 'Warehouse' tab</w:t>
      </w:r>
    </w:p>
    <w:p>
      <w:pPr>
        <w:pStyle w:val="ListBullet"/>
      </w:pPr>
      <w:r>
        <w:t>Load Calculator Web 3.0 featuring a revised interface</w:t>
      </w:r>
    </w:p>
    <w:p>
      <w:pPr>
        <w:pStyle w:val="ListBullet"/>
      </w:pPr>
      <w:r>
        <w:t>Map Platform</w:t>
      </w:r>
    </w:p>
    <w:p>
      <w:pPr>
        <w:pStyle w:val="ListBullet"/>
      </w:pPr>
      <w:r>
        <w:t>Geocoding API integration within Logistics Explorer</w:t>
      </w:r>
    </w:p>
    <w:p>
      <w:pPr>
        <w:pStyle w:val="ListBullet"/>
      </w:pPr>
      <w:r>
        <w:t>Inbox integration spanning Logistics Explorer, Bookings, and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