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at VDS25: Building Green and Digital Logistics</w:t>
      </w:r>
    </w:p>
    <w:p>
      <w:r>
        <w:rPr>
          <w:i/>
          <w:sz w:val="18"/>
        </w:rPr>
        <w:t>Meta Title: SeaRates VDS25 Recap: Smart Supply Chains in Valencia</w:t>
      </w:r>
    </w:p>
    <w:p>
      <w:r>
        <w:rPr>
          <w:i/>
          <w:sz w:val="18"/>
        </w:rPr>
        <w:t>Meta Description: SeaRates joined 15,000 attendees at VDS25 in Valencia to highlight digital supply chain transformation and green logistics solutions for global trade.</w:t>
      </w:r>
    </w:p>
    <w:p/>
    <w:p>
      <w:pPr>
        <w:pStyle w:val="Heading2"/>
      </w:pPr>
      <w:r>
        <w:t>SeaRates at Valencia Digital Summit 2025</w:t>
      </w:r>
    </w:p>
    <w:p>
      <w:r>
        <w:t>Inside Valencia's City of Arts and Sciences, fifteen thousand people gathered to figure out where global trade goes next.</w:t>
      </w:r>
    </w:p>
    <w:p>
      <w:r>
        <w:t>Held in Spain across October 22 and 23, 2025, Valencia Digital Summit 2025 (VDS25) hosted over 15,000 participants. The crowd included 1,500 startups alongside 500 industry leaders. Across two days of sessions, attendees examined artificial intelligence, supply chain operations, green technology, and Industry 5.0 concepts.</w:t>
      </w:r>
    </w:p>
    <w:p>
      <w:r>
        <w:t>The summit gave SeaRates space to show how software simplifies supply chain operations. The team visited startup exhibitions and participated in technical discussions. They also met with partners and industry innovators. Valeriya Guliy represented SeaRates at VDS25 and published her reflections on LinkedIn after the conference.</w:t>
      </w:r>
    </w:p>
    <w:p>
      <w:pPr>
        <w:pStyle w:val="Heading2"/>
      </w:pPr>
      <w:r>
        <w:t>Digital Tools for Global Trade</w:t>
      </w:r>
    </w:p>
    <w:p>
      <w:r>
        <w:t>Modern shipping demands reliable data. Within a unified smart logistics ecosystem, SeaRates presented four core tools built for daily freight management:</w:t>
      </w:r>
    </w:p>
    <w:p>
      <w:pPr>
        <w:pStyle w:val="ListBullet"/>
      </w:pPr>
      <w:r>
        <w:t>Logistics Explorer calculates freight rates and manages instant bookings.</w:t>
      </w:r>
    </w:p>
    <w:p>
      <w:pPr>
        <w:pStyle w:val="ListBullet"/>
      </w:pPr>
      <w:r>
        <w:t>Route Planner designs optimized paths across linear and multimodal networks.</w:t>
      </w:r>
    </w:p>
    <w:p>
      <w:pPr>
        <w:pStyle w:val="ListBullet"/>
      </w:pPr>
      <w:r>
        <w:t>Ship Schedules tracks sailing timelines and ocean carrier departures.</w:t>
      </w:r>
    </w:p>
    <w:p>
      <w:pPr>
        <w:pStyle w:val="ListBullet"/>
      </w:pPr>
      <w:r>
        <w:t>Tracking System monitors shipments across every cargo category.</w:t>
      </w:r>
    </w:p>
    <w:p>
      <w:r>
        <w:t>These solutions deliver supply chain visibility and real-time freight tracking across international trade lanes. They provide practical tools to help logisticians solve complex shipping problems.</w:t>
      </w:r>
    </w:p>
    <w:p>
      <w:pPr>
        <w:pStyle w:val="Heading2"/>
      </w:pPr>
      <w:r>
        <w:t>Observations from VDS25</w:t>
      </w:r>
    </w:p>
    <w:p>
      <w:r>
        <w:t>Sessions at VDS25 pointed to significant shifts in how cargo moves. Automation and data visibility give freight companies needed flexibility to adapt to market shifts. Smart software integrations further help businesses stay resilient in uncertain global markets.</w:t>
      </w:r>
    </w:p>
    <w:p>
      <w:r>
        <w:t>Environmental priorities also drove conversation. Speakers noted during technical panels that sustainability now drives innovation. Building sustainable operations remains a long process, but the industry needs practical green logistics solutions now.</w:t>
      </w:r>
    </w:p>
    <w:p>
      <w:r>
        <w:t>Growth in this sector relies heavily on collaboration. The summit demonstrated that breakthroughs happen through alliances. Freight forwarders work directly with tech innovators and logistics providers. Forward-thinking enterprises work alongside them.</w:t>
      </w:r>
    </w:p>
    <w:p>
      <w:pPr>
        <w:pStyle w:val="Heading2"/>
      </w:pPr>
      <w:r>
        <w:t>Future Outlook</w:t>
      </w:r>
    </w:p>
    <w:p>
      <w:r>
        <w:t>Two days in Valencia gave the SeaRates team renewed energy to expand automation capabilities for global transport. To explore these digital supply chain transformation tools or discuss commercial cooperation, contact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