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13 Updates: Exceptions &amp; Route Tracking</w:t>
      </w:r>
    </w:p>
    <w:p>
      <w:r>
        <w:rPr>
          <w:i/>
          <w:sz w:val="18"/>
        </w:rPr>
        <w:t xml:space="preserve">Meta Title: </w:t>
      </w:r>
      <w:r>
        <w:rPr>
          <w:i/>
          <w:sz w:val="18"/>
        </w:rPr>
        <w:t>SeaRates Week 13 2025: Platform Updates &amp; Tracking</w:t>
      </w:r>
    </w:p>
    <w:p>
      <w:r>
        <w:rPr>
          <w:i/>
          <w:sz w:val="18"/>
        </w:rPr>
        <w:t xml:space="preserve">Meta Description: </w:t>
      </w:r>
      <w:r>
        <w:rPr>
          <w:i/>
          <w:sz w:val="18"/>
        </w:rPr>
        <w:t>Explore SeaRates Week 13 2025 updates with container tracking exception management, route API features, and improved carrier integrations.</w:t>
      </w:r>
    </w:p>
    <w:p/>
    <w:p>
      <w:r>
        <w:t>SeaRates released several platform enhancements during Week 13 of 2025, bringing practical improvements to shipment monitoring and API data workflows. The web version of our Tracking System now features dedicated tracking for 25 exception types within the shipment card under the 'Exceptions' tab. Logistics teams can monitor changes in departure times, estimated arrival times, or shipping line updates directly within this section. This enhancement improves container tracking exception management by organizing schedule adjustments in one clear view.</w:t>
      </w:r>
    </w:p>
    <w:p>
      <w:r>
        <w:t>Developers using our Tracking API will benefit from new logic designed for a container number validation API workflow. This update prevents invalid container entries before requests process, improving data accuracy across your integration. At the same time, our Route API now delivers deeper ocean freight route visibility by supplying detailed vessel information alongside exact departure and arrival locations for every route segment.</w:t>
      </w:r>
    </w:p>
    <w:p>
      <w:r>
        <w:t>Carriers across the global shipping network also received integration upgrades this week. We improved connections with 12 major ocean shipping lines. Updates were applied for carriers including Maersk, COSCO, Hapag-Lloyd, and CMA CGM. Integrations were also refined for Mediterranean Shipping Company (MSC), Pacific International Lines (PIL), American President Lines (APL), Australia National Line (ANL), CNC (Cheng Lie Navigation), Ignazio Messina, Swire Shipping, and Cordelia Container Shipping Line. These updates ensure smoother data synchronization when tracking freight across diverse shipping lines.</w:t>
      </w:r>
    </w:p>
    <w:p>
      <w:r>
        <w:t>Air freight tracking tools received key performance updates as well. Improved support for Lufthansa Cargo and Thai Cargo expands air cargo tracking integration capabilities for users managing multimodal logistics operations. On the ocean side, our Ship Schedules tool saw provider support enhancements for Shipping Corporation of India, along with Swire Shipping (by Points and by Vessel).</w:t>
      </w:r>
    </w:p>
    <w:p>
      <w:r>
        <w:t>To help teams integrate our communication tools into their websites, we launched a new Chat System landing page. This page highlights the core benefits and features available for web integration, making it straightforward to evaluate and implement chat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