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SeaRates Week 46: Carrier Expansion and Tool Updates</w:t>
      </w:r>
    </w:p>
    <w:p>
      <w:pPr>
        <w:spacing w:after="360"/>
      </w:pPr>
      <w:r>
        <w:rPr>
          <w:i/>
          <w:color w:val="646464"/>
          <w:sz w:val="18"/>
        </w:rPr>
        <w:t>Meta Title: SeaRates Week 46 Updates: 220 Ocean Lines and API Upgrades</w:t>
        <w:br/>
      </w:r>
      <w:r>
        <w:rPr>
          <w:i/>
          <w:color w:val="646464"/>
          <w:sz w:val="18"/>
        </w:rPr>
        <w:t>Meta Description: SeaRates Week 46 updates add TCI Seaways, LX Pantos, 4 parcel couriers, refreshed ocean freight schedules, and new logistics event API codes.</w:t>
        <w:br/>
      </w:r>
    </w:p>
    <w:p>
      <w:pPr>
        <w:spacing w:after="160"/>
      </w:pPr>
      <w:r>
        <w:t>Tracking cargo across scattered networks usually comes down to how many data streams your software can digest at once.</w:t>
      </w:r>
    </w:p>
    <w:p>
      <w:pPr>
        <w:pStyle w:val="Heading2"/>
      </w:pPr>
      <w:r>
        <w:t>Ocean Container Tracking</w:t>
      </w:r>
    </w:p>
    <w:p>
      <w:pPr>
        <w:spacing w:after="160"/>
      </w:pPr>
      <w:r>
        <w:t>In week 46 of 2025, SeaRates expanded its real-time container tracking coverage by adding TCI Seaways and LX Pantos. This brings total supported ocean lines to 220. Alongside these integrations, direct collaboration improved for twelve active ocean lines: Mariana Express Lines (MELL), Samudera Shipping Line, Yang Ming, COSCO, Medkon Lines, Hapag-Lloyd, Crowley Maritime, Maersk, Mediterranean Shipping Company (MSC), Heung-A Shipping, Namsung Shipping, and Dong Young Shipping. Broader integration across carrier-agnostic tracking tools helps logistics operators keep tabs on freight without switching portals.</w:t>
      </w:r>
    </w:p>
    <w:p>
      <w:pPr>
        <w:pStyle w:val="Heading2"/>
      </w:pPr>
      <w:r>
        <w:t>Parcel and Air Cargo</w:t>
      </w:r>
    </w:p>
    <w:p>
      <w:pPr>
        <w:spacing w:after="160"/>
      </w:pPr>
      <w:r>
        <w:t>Parcel Tracking now supports four additional courier networks: FedEx, Joom Logistics, DHL Express, and Nova Poshta Global. On the air freight side, support grew stronger for five air carriers, specifically FedEx Express, Air Canada, Hong Kong Air Cargo, Delta Air Lines, and United Airlines. These additions widen multimodal visibility for shippers handling mixed package and air shipments alongside ocean movements.</w:t>
      </w:r>
    </w:p>
    <w:p>
      <w:pPr>
        <w:pStyle w:val="Heading2"/>
      </w:pPr>
      <w:r>
        <w:t>Ocean Freight Schedules and Developer Tools</w:t>
      </w:r>
    </w:p>
    <w:p>
      <w:pPr>
        <w:spacing w:after="160"/>
      </w:pPr>
      <w:r>
        <w:t>Ocean freight schedules received updates across multiple search modes. Search by Vessel now supports Safetrans, while Search by Port gained Tailwind and Africa Express Line. Search by Points upgraded its coverage for KMTC, X-Press, and Crowley.</w:t>
      </w:r>
    </w:p>
    <w:p>
      <w:pPr>
        <w:spacing w:after="160"/>
      </w:pPr>
      <w:r>
        <w:t>On the developer side, the Developer Portal released updated API documentation for the Parcel Tracking API. This release introduces new status codes for the logistics event API, making event status tracking clearer when integrating tracking data into existing enterprise systems.</w:t>
      </w:r>
    </w:p>
    <w:p>
      <w:pPr>
        <w:pStyle w:val="Heading2"/>
      </w:pPr>
      <w:r>
        <w:t>In the Pipeline</w:t>
      </w:r>
    </w:p>
    <w:p>
      <w:pPr>
        <w:spacing w:after="160"/>
      </w:pPr>
      <w:r>
        <w:t>Several platform tools and features are currently in development across SeaRates:</w:t>
      </w:r>
    </w:p>
    <w:p>
      <w:pPr>
        <w:pStyle w:val="ListBullet"/>
        <w:spacing w:after="80"/>
      </w:pPr>
      <w:r>
        <w:t>Unified Tracking System</w:t>
      </w:r>
    </w:p>
    <w:p>
      <w:pPr>
        <w:pStyle w:val="ListBullet"/>
        <w:spacing w:after="80"/>
      </w:pPr>
      <w:r>
        <w:t>Logistics Map Warehouse tab</w:t>
      </w:r>
    </w:p>
    <w:p>
      <w:pPr>
        <w:pStyle w:val="ListBullet"/>
        <w:spacing w:after="80"/>
      </w:pPr>
      <w:r>
        <w:t>Load Calculator Web 3.0 (new design and features)</w:t>
      </w:r>
    </w:p>
    <w:p>
      <w:pPr>
        <w:pStyle w:val="ListBullet"/>
        <w:spacing w:after="80"/>
      </w:pPr>
      <w:r>
        <w:t>Map Platform</w:t>
      </w:r>
    </w:p>
    <w:p>
      <w:pPr>
        <w:pStyle w:val="ListBullet"/>
        <w:spacing w:after="80"/>
      </w:pPr>
      <w:r>
        <w:t>Geocoding API integrated with Logistics Explorer</w:t>
      </w:r>
    </w:p>
    <w:p>
      <w:pPr>
        <w:pStyle w:val="ListBullet"/>
        <w:spacing w:after="80"/>
      </w:pPr>
      <w:r>
        <w:t>Inbox improvements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