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9 Updates: Rates App, Terminal Expansion</w:t>
      </w:r>
    </w:p>
    <w:p>
      <w:r>
        <w:rPr>
          <w:i/>
          <w:color w:val="646464"/>
          <w:sz w:val="18"/>
        </w:rPr>
        <w:t>Meta Title: SeaRates 2025 Updates: Tariff Tools, 31 New Terminals</w:t>
      </w:r>
    </w:p>
    <w:p>
      <w:r>
        <w:rPr>
          <w:i/>
          <w:color w:val="646464"/>
          <w:sz w:val="18"/>
        </w:rPr>
        <w:t>Meta Description: SeaRates adds Rates app, expands terminal API to 33 ports, integrates carbon calculator, and enhances tracking systems. Latest logistics improvements.</w:t>
      </w:r>
    </w:p>
    <w:p/>
    <w:p>
      <w:pPr>
        <w:spacing w:after="160" w:line="276" w:lineRule="auto"/>
      </w:pPr>
      <w:r>
        <w:t>Ocean freight requirements constantly evolve, prompting SeaRates to release pragmatic tool upgrades across its logistics suite.</w:t>
      </w:r>
    </w:p>
    <w:p>
      <w:pPr>
        <w:spacing w:after="160" w:line="276" w:lineRule="auto"/>
      </w:pPr>
      <w:r>
        <w:t>A dedicated Rates and Tariffs app is now available within Virtual Office as part of the Rate Management System. Designed to accommodate FCL, LCL, and Bulk freight pricing, this feature allows users to organize Door-to-Door (D2D), Door-to-Port (D2P), and Port-to-Door (P2D) rates efficiently. Platform users can enter new tariffs, filter existing listings, and export rate data in bulk, with standard validity set for a two-week window. Forwarders can promote specific tariffs through Logistics Explorer, mark entries with Spot or Space guaranty status, and track lifecycle stages like 'Expires' or 'Prospective'. Table layouts are fully customizable. System queries yield updated results within two seconds.</w:t>
      </w:r>
    </w:p>
    <w:p>
      <w:pPr>
        <w:spacing w:after="160" w:line="276" w:lineRule="auto"/>
      </w:pPr>
      <w:r>
        <w:t>The Carbon Emissions Calculator now features direct integration with Autocomplete, helping users calculate estimated carbon offsets across global supply chains via SeaRates' geographic database.</w:t>
      </w:r>
    </w:p>
    <w:p>
      <w:pPr>
        <w:spacing w:after="160" w:line="276" w:lineRule="auto"/>
      </w:pPr>
      <w:r>
        <w:t>SeaRates has expanded its Terminal API to cover 31 additional locations, raising the total number of supported terminals to 33. Newly added facilities include KHALIFA PORT CONTAINER TERMINAL, APM Terminals Puerto Quetzal, APM Terminals Moín, APM Terminals Port Elizabeth, Port of Pointe-Noire, APM Terminals Mumbai, APM Terminals Aarhus, APM Terminals Callao, Aqaba Container Terminal, APM Terminals Buenos Aires, APM Terminals MedPort Tangier, APM Terminals Onne, APM Terminals Gothenburg, APM Terminals Yucatán, APM Terminals Pier 400 Los Angeles, APM Terminals Apapa, APM Terminals Lázaro Cárdenas, APM Terminals Poti, APM Terminals Pecém, APM Terminals Vado Ligure, APM Terminals Mobile, Suez Canal Container Terminal, APM Terminals Liberia, APM Terminals Pipavav, APM Terminals Bahrain, APM Terminals Tangier, APM Terminals Maasvlakte II, APM Terminals Miami, APM Terminals Valencia, APM Terminals Algeciras, and APM Terminals Barcelona. Through the API, users can retrieve updated terminal lists, specific terminal details, as well as SMDG and BIC code references.</w:t>
      </w:r>
    </w:p>
    <w:p>
      <w:pPr>
        <w:spacing w:after="160" w:line="276" w:lineRule="auto"/>
      </w:pPr>
      <w:r>
        <w:t>System updates to Tracking System refine AIS vessel location streams while optimizing underlying API routing logic. Additionally, SeaRates has deepened carrier integrations across 13 shipping lines: Atlantic Container Line, Mediterranean Shipping Company, Dole Ocean Cargo Express, DSV Ocean Transport, CMA CGM, Swire Shipping, Westwood Shipping Lines, Laurel Navigation, Neptune Pacific Direct Line, Ignazio Messina, PSL Navegacao, Aladin Express, and White Line Shipping.</w:t>
      </w:r>
    </w:p>
    <w:p>
      <w:pPr>
        <w:spacing w:after="160" w:line="276" w:lineRule="auto"/>
      </w:pPr>
      <w:r>
        <w:t>In air logistics, Air Cargo Tracking has expanded its coverage to better accommodate AirMax alongside additional air carriers.</w:t>
      </w:r>
    </w:p>
    <w:p>
      <w:pPr>
        <w:spacing w:after="160" w:line="276" w:lineRule="auto"/>
      </w:pPr>
      <w:r>
        <w:t>The Ship Schedules tool now provides a ten-week operational horizon. Query processing speed has also accelerated. Ocean carriers including ONE, Hapag-Lloyd, Wan Hai, Sunmarine, Gemadept, CMA CGM, APL, CNC, ANL, and SITC now support searches 'by Points', while CMA CGM also supports searches 'by Port'.</w:t>
      </w:r>
    </w:p>
    <w:p>
      <w:pPr>
        <w:spacing w:after="160" w:line="276" w:lineRule="auto"/>
      </w:pPr>
      <w:r>
        <w:t>Further platform enhancements include improved classification of airports and railway terminals in Distance &amp; Time. Logistics Explorer now displays fixed pricing for D2D, D2P, and P2D shipments within LCL and Bulk categories. Finally, Freight Index interfaces now support full language 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