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Release Notes: Week 31, 2025 Updates</w:t>
      </w:r>
    </w:p>
    <w:p>
      <w:r>
        <w:rPr>
          <w:b/>
          <w:i/>
          <w:sz w:val="18"/>
        </w:rPr>
        <w:t xml:space="preserve">Meta Title: </w:t>
      </w:r>
      <w:r>
        <w:rPr>
          <w:i/>
          <w:sz w:val="18"/>
        </w:rPr>
        <w:t>SeaRates Updates: Week 31, 2025 Release Notes</w:t>
      </w:r>
    </w:p>
    <w:p>
      <w:r>
        <w:rPr>
          <w:b/>
          <w:i/>
          <w:sz w:val="18"/>
        </w:rPr>
        <w:t xml:space="preserve">Meta Description: </w:t>
      </w:r>
      <w:r>
        <w:rPr>
          <w:i/>
          <w:sz w:val="18"/>
        </w:rPr>
        <w:t>SeaRates Week 31, 2025 release notes cover tracking updates across 14 ocean lines and 4 airlines, schedule refinements, plus new platform tools.</w:t>
      </w:r>
    </w:p>
    <w:p/>
    <w:p>
      <w:pPr>
        <w:pStyle w:val="Heading2"/>
      </w:pPr>
      <w:r>
        <w:t>Ocean Tracking Enhancements</w:t>
      </w:r>
    </w:p>
    <w:p>
      <w:r>
        <w:rPr>
          <w:rFonts w:ascii="Calibri" w:hAnsi="Calibri"/>
          <w:sz w:val="22"/>
        </w:rPr>
        <w:t>SeaRates expanded ocean tracking coverage by integrating two additional shipping lines: Expressway Container Line and Fairfreight Lines. The platform now supports 209 shipping lines in total.</w:t>
      </w:r>
    </w:p>
    <w:p>
      <w:r>
        <w:rPr>
          <w:rFonts w:ascii="Calibri" w:hAnsi="Calibri"/>
          <w:sz w:val="22"/>
        </w:rPr>
        <w:t>Tracking integrations were updated for 12 existing ocean carriers:</w:t>
      </w:r>
    </w:p>
    <w:p>
      <w:pPr>
        <w:pStyle w:val="ListBullet"/>
      </w:pPr>
      <w:r>
        <w:rPr>
          <w:rFonts w:ascii="Calibri" w:hAnsi="Calibri"/>
          <w:sz w:val="22"/>
        </w:rPr>
        <w:t>Pan Continental Shipping</w:t>
      </w:r>
    </w:p>
    <w:p>
      <w:pPr>
        <w:pStyle w:val="ListBullet"/>
      </w:pPr>
      <w:r>
        <w:rPr>
          <w:rFonts w:ascii="Calibri" w:hAnsi="Calibri"/>
          <w:sz w:val="22"/>
        </w:rPr>
        <w:t>Jin Jiang Shipping (SHJJ)</w:t>
      </w:r>
    </w:p>
    <w:p>
      <w:pPr>
        <w:pStyle w:val="ListBullet"/>
      </w:pPr>
      <w:r>
        <w:rPr>
          <w:rFonts w:ascii="Calibri" w:hAnsi="Calibri"/>
          <w:sz w:val="22"/>
        </w:rPr>
        <w:t>Hapag-Lloyd</w:t>
      </w:r>
    </w:p>
    <w:p>
      <w:pPr>
        <w:pStyle w:val="ListBullet"/>
      </w:pPr>
      <w:r>
        <w:rPr>
          <w:rFonts w:ascii="Calibri" w:hAnsi="Calibri"/>
          <w:sz w:val="22"/>
        </w:rPr>
        <w:t>Maersk</w:t>
      </w:r>
    </w:p>
    <w:p>
      <w:pPr>
        <w:pStyle w:val="ListBullet"/>
      </w:pPr>
      <w:r>
        <w:rPr>
          <w:rFonts w:ascii="Calibri" w:hAnsi="Calibri"/>
          <w:sz w:val="22"/>
        </w:rPr>
        <w:t>Dachser</w:t>
      </w:r>
    </w:p>
    <w:p>
      <w:pPr>
        <w:pStyle w:val="ListBullet"/>
      </w:pPr>
      <w:r>
        <w:rPr>
          <w:rFonts w:ascii="Calibri" w:hAnsi="Calibri"/>
          <w:sz w:val="22"/>
        </w:rPr>
        <w:t>Hede Shipping</w:t>
      </w:r>
    </w:p>
    <w:p>
      <w:pPr>
        <w:pStyle w:val="ListBullet"/>
      </w:pPr>
      <w:r>
        <w:rPr>
          <w:rFonts w:ascii="Calibri" w:hAnsi="Calibri"/>
          <w:sz w:val="22"/>
        </w:rPr>
        <w:t>Wan Hai</w:t>
      </w:r>
    </w:p>
    <w:p>
      <w:pPr>
        <w:pStyle w:val="ListBullet"/>
      </w:pPr>
      <w:r>
        <w:rPr>
          <w:rFonts w:ascii="Calibri" w:hAnsi="Calibri"/>
          <w:sz w:val="22"/>
        </w:rPr>
        <w:t>Mediterranean Shipping Company (MSC)</w:t>
      </w:r>
    </w:p>
    <w:p>
      <w:pPr>
        <w:pStyle w:val="ListBullet"/>
      </w:pPr>
      <w:r>
        <w:rPr>
          <w:rFonts w:ascii="Calibri" w:hAnsi="Calibri"/>
          <w:sz w:val="22"/>
        </w:rPr>
        <w:t>SITC Container Lines</w:t>
      </w:r>
    </w:p>
    <w:p>
      <w:pPr>
        <w:pStyle w:val="ListBullet"/>
      </w:pPr>
      <w:r>
        <w:rPr>
          <w:rFonts w:ascii="Calibri" w:hAnsi="Calibri"/>
          <w:sz w:val="22"/>
        </w:rPr>
        <w:t>Asyad Line</w:t>
      </w:r>
    </w:p>
    <w:p>
      <w:pPr>
        <w:pStyle w:val="ListBullet"/>
      </w:pPr>
      <w:r>
        <w:rPr>
          <w:rFonts w:ascii="Calibri" w:hAnsi="Calibri"/>
          <w:sz w:val="22"/>
        </w:rPr>
        <w:t>Sealead Shipping</w:t>
      </w:r>
    </w:p>
    <w:p>
      <w:pPr>
        <w:pStyle w:val="ListBullet"/>
      </w:pPr>
      <w:r>
        <w:rPr>
          <w:rFonts w:ascii="Calibri" w:hAnsi="Calibri"/>
          <w:sz w:val="22"/>
        </w:rPr>
        <w:t>Maritime Carrier Shipping (MACS)</w:t>
      </w:r>
    </w:p>
    <w:p>
      <w:r>
        <w:rPr>
          <w:rFonts w:ascii="Calibri" w:hAnsi="Calibri"/>
          <w:sz w:val="22"/>
        </w:rPr>
        <w:t>These data updates improve real-time ocean freight visibility. SeaRates also revised internal status processing logic to determine DELIVERED cargo milestones more accurately.</w:t>
      </w:r>
    </w:p>
    <w:p>
      <w:pPr>
        <w:pStyle w:val="Heading2"/>
      </w:pPr>
      <w:r>
        <w:t>Air Tracking and Vessel Schedules</w:t>
      </w:r>
    </w:p>
    <w:p>
      <w:r>
        <w:rPr>
          <w:rFonts w:ascii="Calibri" w:hAnsi="Calibri"/>
          <w:sz w:val="22"/>
        </w:rPr>
        <w:t>Air tracking improvements reached four airlines:</w:t>
      </w:r>
    </w:p>
    <w:p>
      <w:pPr>
        <w:pStyle w:val="ListBullet"/>
      </w:pPr>
      <w:r>
        <w:rPr>
          <w:rFonts w:ascii="Calibri" w:hAnsi="Calibri"/>
          <w:sz w:val="22"/>
        </w:rPr>
        <w:t>Turkish Airlines</w:t>
      </w:r>
    </w:p>
    <w:p>
      <w:pPr>
        <w:pStyle w:val="ListBullet"/>
      </w:pPr>
      <w:r>
        <w:rPr>
          <w:rFonts w:ascii="Calibri" w:hAnsi="Calibri"/>
          <w:sz w:val="22"/>
        </w:rPr>
        <w:t>Avianca</w:t>
      </w:r>
    </w:p>
    <w:p>
      <w:pPr>
        <w:pStyle w:val="ListBullet"/>
      </w:pPr>
      <w:r>
        <w:rPr>
          <w:rFonts w:ascii="Calibri" w:hAnsi="Calibri"/>
          <w:sz w:val="22"/>
        </w:rPr>
        <w:t>LOT Polish Airlines</w:t>
      </w:r>
    </w:p>
    <w:p>
      <w:pPr>
        <w:pStyle w:val="ListBullet"/>
      </w:pPr>
      <w:r>
        <w:rPr>
          <w:rFonts w:ascii="Calibri" w:hAnsi="Calibri"/>
          <w:sz w:val="22"/>
        </w:rPr>
        <w:t>ASL Airlines Belgium</w:t>
      </w:r>
    </w:p>
    <w:p>
      <w:r>
        <w:rPr>
          <w:rFonts w:ascii="Calibri" w:hAnsi="Calibri"/>
          <w:sz w:val="22"/>
        </w:rPr>
        <w:t>These updates refine air cargo milestone updates for active shipments.</w:t>
      </w:r>
    </w:p>
    <w:p>
      <w:r>
        <w:rPr>
          <w:rFonts w:ascii="Calibri" w:hAnsi="Calibri"/>
          <w:sz w:val="22"/>
        </w:rPr>
        <w:t>Vessel schedule intelligence was updated across four carrier data feeds:</w:t>
      </w:r>
    </w:p>
    <w:p>
      <w:pPr>
        <w:pStyle w:val="ListBullet"/>
      </w:pPr>
      <w:r>
        <w:rPr>
          <w:rFonts w:ascii="Calibri" w:hAnsi="Calibri"/>
          <w:sz w:val="22"/>
        </w:rPr>
        <w:t>Points searches: Yang Ming, DSV Ocean</w:t>
      </w:r>
    </w:p>
    <w:p>
      <w:pPr>
        <w:pStyle w:val="ListBullet"/>
      </w:pPr>
      <w:r>
        <w:rPr>
          <w:rFonts w:ascii="Calibri" w:hAnsi="Calibri"/>
          <w:sz w:val="22"/>
        </w:rPr>
        <w:t>Vessel searches: Emirates, Vertraco</w:t>
      </w:r>
    </w:p>
    <w:p>
      <w:pPr>
        <w:pStyle w:val="Heading2"/>
      </w:pPr>
      <w:r>
        <w:t>Landing Pages and New Feature Announcements</w:t>
      </w:r>
    </w:p>
    <w:p>
      <w:r>
        <w:rPr>
          <w:rFonts w:ascii="Calibri" w:hAnsi="Calibri"/>
          <w:sz w:val="22"/>
        </w:rPr>
        <w:t>Content and layout revisions were completed for key product landing pages:</w:t>
      </w:r>
    </w:p>
    <w:p>
      <w:pPr>
        <w:pStyle w:val="ListBullet"/>
      </w:pPr>
      <w:r>
        <w:rPr>
          <w:rFonts w:ascii="Calibri" w:hAnsi="Calibri"/>
          <w:sz w:val="22"/>
        </w:rPr>
        <w:t>Container Tracking API</w:t>
      </w:r>
    </w:p>
    <w:p>
      <w:pPr>
        <w:pStyle w:val="ListBullet"/>
      </w:pPr>
      <w:r>
        <w:rPr>
          <w:rFonts w:ascii="Calibri" w:hAnsi="Calibri"/>
          <w:sz w:val="22"/>
        </w:rPr>
        <w:t>Container Tracking Web Integration</w:t>
      </w:r>
    </w:p>
    <w:p>
      <w:pPr>
        <w:pStyle w:val="ListBullet"/>
      </w:pPr>
      <w:r>
        <w:rPr>
          <w:rFonts w:ascii="Calibri" w:hAnsi="Calibri"/>
          <w:sz w:val="22"/>
        </w:rPr>
        <w:t>Integrations landing page</w:t>
      </w:r>
    </w:p>
    <w:p>
      <w:r>
        <w:rPr>
          <w:rFonts w:ascii="Calibri" w:hAnsi="Calibri"/>
          <w:sz w:val="22"/>
        </w:rPr>
        <w:t>These site updates clarify options for multi-carrier tracking API deployment and broader digital logistics platform integration.</w:t>
      </w:r>
    </w:p>
    <w:p>
      <w:r>
        <w:rPr>
          <w:rFonts w:ascii="Calibri" w:hAnsi="Calibri"/>
          <w:sz w:val="22"/>
        </w:rPr>
        <w:t>SeaRates also announced several tools and integration projects:</w:t>
      </w:r>
    </w:p>
    <w:p>
      <w:pPr>
        <w:pStyle w:val="ListBullet"/>
      </w:pPr>
      <w:r>
        <w:rPr>
          <w:rFonts w:ascii="Calibri" w:hAnsi="Calibri"/>
          <w:sz w:val="22"/>
        </w:rPr>
        <w:t>Unified Tracking System</w:t>
      </w:r>
    </w:p>
    <w:p>
      <w:pPr>
        <w:pStyle w:val="ListBullet"/>
      </w:pPr>
      <w:r>
        <w:rPr>
          <w:rFonts w:ascii="Calibri" w:hAnsi="Calibri"/>
          <w:sz w:val="22"/>
        </w:rPr>
        <w:t>Logistics Map Warehouse tab</w:t>
      </w:r>
    </w:p>
    <w:p>
      <w:pPr>
        <w:pStyle w:val="ListBullet"/>
      </w:pPr>
      <w:r>
        <w:rPr>
          <w:rFonts w:ascii="Calibri" w:hAnsi="Calibri"/>
          <w:sz w:val="22"/>
        </w:rPr>
        <w:t>Load Calculator Web 3.0 (redesigned with new features)</w:t>
      </w:r>
    </w:p>
    <w:p>
      <w:pPr>
        <w:pStyle w:val="ListBullet"/>
      </w:pPr>
      <w:r>
        <w:rPr>
          <w:rFonts w:ascii="Calibri" w:hAnsi="Calibri"/>
          <w:sz w:val="22"/>
        </w:rPr>
        <w:t>Map Platform</w:t>
      </w:r>
    </w:p>
    <w:p>
      <w:pPr>
        <w:pStyle w:val="ListBullet"/>
      </w:pPr>
      <w:r>
        <w:rPr>
          <w:rFonts w:ascii="Calibri" w:hAnsi="Calibri"/>
          <w:sz w:val="22"/>
        </w:rPr>
        <w:t>AI Assistant integrated with Ship Schedules</w:t>
      </w:r>
    </w:p>
    <w:p>
      <w:pPr>
        <w:pStyle w:val="ListBullet"/>
      </w:pPr>
      <w:r>
        <w:rPr>
          <w:rFonts w:ascii="Calibri" w:hAnsi="Calibri"/>
          <w:sz w:val="22"/>
        </w:rPr>
        <w:t>Geocoding API integrated with Logistics Explorer</w:t>
      </w:r>
    </w:p>
    <w:p>
      <w:pPr>
        <w:pStyle w:val="ListBullet"/>
      </w:pPr>
      <w:r>
        <w:rPr>
          <w:rFonts w:ascii="Calibri" w:hAnsi="Calibri"/>
          <w:sz w:val="22"/>
        </w:rPr>
        <w:t>Inbox integration linking Logistics Explorer, Bookings, plus Notifications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