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Selecting Forklifts for Dock and Terminal Operations</w:t>
      </w:r>
    </w:p>
    <w:p>
      <w:r>
        <w:rPr>
          <w:i/>
          <w:sz w:val="18"/>
        </w:rPr>
        <w:t>Meta Title: Selecting Forklifts for Logistics and Port Operations</w:t>
        <w:br/>
      </w:r>
      <w:r>
        <w:rPr>
          <w:i/>
          <w:sz w:val="18"/>
        </w:rPr>
        <w:t>Meta Description: Learn how selecting the right forklift balances power, indoor safety, operator ergonomics, and acquisition costs for smooth cargo handling.</w:t>
        <w:br/>
      </w:r>
    </w:p>
    <w:p>
      <w:r>
        <w:t>Ocean freighters grab headlines, yet terminal velocity depends on humble ground gear moving crates across the warehouse floor.</w:t>
      </w:r>
    </w:p>
    <w:p>
      <w:r>
        <w:t>Material handling units rarely travel across open seas, but terminal loading speed hinges on them. Sourcing through Quinn Company, recognized as the premier dealer of rough terrain forklifts, secures heavy-duty machinery tailored for harsh yards. Selecting appropriate equipment directly steers day-to-day workflow.</w:t>
      </w:r>
    </w:p>
    <w:p>
      <w:pPr>
        <w:pStyle w:val="Heading2"/>
      </w:pPr>
      <w:r>
        <w:t>Operating Environment</w:t>
      </w:r>
    </w:p>
    <w:p>
      <w:r>
        <w:t>Terrain dictates chassis selection. Indoor facilities demand clean, smooth-surface models, whereas rugged yards require specialized suspensions like those supplied by Toyota Lift Northwest.</w:t>
      </w:r>
    </w:p>
    <w:p>
      <w:pPr>
        <w:pStyle w:val="Heading2"/>
      </w:pPr>
      <w:r>
        <w:t>Load Geometry and Reach</w:t>
      </w:r>
    </w:p>
    <w:p>
      <w:r>
        <w:t>Cargo mass and physical dimensions define machine boundaries. Operating under-capacity frames accelerates mechanical strain, shortening service life while raising collision hazards. Mast extension must also match standard vertical racking to maintain steady material flow.</w:t>
      </w:r>
    </w:p>
    <w:p>
      <w:pPr>
        <w:pStyle w:val="Heading2"/>
      </w:pPr>
      <w:r>
        <w:t>Powerplants and Running Expenses</w:t>
      </w:r>
    </w:p>
    <w:p>
      <w:r>
        <w:t>Initial outlay for battery-powered forklifts runs higher, yet zero exhaust emissions and quiet operation suit enclosed structures. Long-term energy savings soften initial capital demands. Conversely, diesel or gas engines deliver raw torque for heavy outdoor hauling, trading fuel economy for pushing power.</w:t>
      </w:r>
    </w:p>
    <w:p>
      <w:pPr>
        <w:pStyle w:val="Heading2"/>
      </w:pPr>
      <w:r>
        <w:t>Driver Well-Being</w:t>
      </w:r>
    </w:p>
    <w:p>
      <w:r>
        <w:t>Driver comfort directly affects physical health over extended shifts. Well-designed cabs reduce spinal strain and repetitive strain injuries, preserving experienced personnel on active duty.</w:t>
      </w:r>
    </w:p>
    <w:p>
      <w:pPr>
        <w:pStyle w:val="Heading2"/>
      </w:pPr>
      <w:r>
        <w:t>Capital Allocation: Purchase vs Lease</w:t>
      </w:r>
    </w:p>
    <w:p>
      <w:r>
        <w:t>Fresh factory models demand significant capital but deliver high reliability across light or heavy weekly schedules. Pre-owned units lower initial expense; however, high maintenance bills make them suited primarily for light shifts under ten hours. Leasing provides financial flexibility, preserving working capital for broader business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