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40"/>
        </w:rPr>
        <w:t>Shipping Container History and Future Outlook</w:t>
      </w:r>
    </w:p>
    <w:p>
      <w:r>
        <w:rPr>
          <w:i/>
          <w:sz w:val="18"/>
        </w:rPr>
        <w:t>Meta Title: Containerization History and Future Freight Tech</w:t>
        <w:br/>
      </w:r>
      <w:r>
        <w:rPr>
          <w:i/>
          <w:sz w:val="18"/>
        </w:rPr>
        <w:t>Meta Description: Discover containerization history, mega container vessels, automated container terminals, and smart containers IoT telemetry for supply chain resilience.</w:t>
        <w:br/>
      </w:r>
    </w:p>
    <w:p/>
    <w:p>
      <w:r>
        <w:rPr>
          <w:sz w:val="22"/>
        </w:rPr>
        <w:t>In 1956, American entrepreneur Malcolm McLean introduced a standard steel box that transformed global trade. Loading cargo on ships then cost $5.68 per ton, but standardizing dockside handling slashed that expense to 19 cents per ton.</w:t>
      </w:r>
    </w:p>
    <w:p>
      <w:r>
        <w:rPr>
          <w:sz w:val="22"/>
        </w:rPr>
        <w:t>McLean's original box measured 33 feet long, 8 feet high, and 8 feet wide. He recognized that uniform loading procedures would reduce port turnaround times and cut costs. His model also brought structured regulation to dock operations, protecting workers whose maritime careers depended on sound industry management. Sizing subsequently shifted to a 20-foot long, 8-foot wide, and 9-foot tall box known as a twenty-foot equivalent container unit, or TEU, alongside the 40-foot FEU. As container specifications unified, shipyard construction standardized too, lowering ship production costs across the sector.</w:t>
      </w:r>
    </w:p>
    <w:p>
      <w:r>
        <w:rPr>
          <w:sz w:val="22"/>
        </w:rPr>
        <w:t>Ship sizes grew dramatically over the last twenty years, with average vessel capacity doubling and the largest hulls now carrying up to 24,000 containers. Industry projections indicate capacities could rise another 50 percent before the decade ends. Yet sheer size creates operational friction, as handling mega container vessels extends turnaround times at berth. Meanwhile, maritime disruptions like the Suez Canal congestion trap cargo at sea, reducing efficiency gains.</w:t>
      </w:r>
    </w:p>
    <w:p>
      <w:r>
        <w:rPr>
          <w:sz w:val="22"/>
        </w:rPr>
        <w:t>Market geography reflects global manufacturing hubs. Asia Pacific leads the container fleet market due to its dominant manufacturing base. North America and Europe follow, while shipping volumes expand across Latin America, the Middle East, and Africa. Fleet operations serve specific end-user industries, including oil and gas, automotive, minerals, food, and mining.</w:t>
      </w:r>
    </w:p>
    <w:p>
      <w:r>
        <w:rPr>
          <w:sz w:val="22"/>
        </w:rPr>
        <w:t>Automation drives the next major efficiency leap. In 1993, Rotterdam constructed the first fully automated container port. Busan, South Korea quickly adopted automated container terminals, and South Korean shipbuilders later constructed the first container ship featuring an integrated automation system. Operators hope automated navigation lowers costs, adjusts swiftly to shifting weather, and saves fuel. Consequently, maritime careers in information technology continue to grow in count and importance.</w:t>
      </w:r>
    </w:p>
    <w:p>
      <w:r>
        <w:rPr>
          <w:sz w:val="22"/>
        </w:rPr>
        <w:t>Technology spreads across the entire logistics chain. Adopting digital shipping tools, smart containers IoT telemetry, port automation ashore, and fuel-efficient vessel design aims to create a more efficient, informed, and environmentally friendly industry. As global trade expands, supply chain diversification fuels resilient fleet growth. Looking at containerization history demonstrates how evolving ship designs, port infrastructure, and steady product demand keep sea trade moving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