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Shipping IMO Cargo: Avoiding Port Holds and HAZMAT Fines</w:t>
      </w:r>
    </w:p>
    <w:p>
      <w:r>
        <w:rPr>
          <w:i/>
          <w:color w:val="646464"/>
          <w:sz w:val="18"/>
        </w:rPr>
        <w:t>Meta Title: IMO Cargo Shipping Guide: IMDG Code and HAZMAT Rules</w:t>
        <w:br/>
      </w:r>
      <w:r>
        <w:rPr>
          <w:i/>
          <w:color w:val="646464"/>
          <w:sz w:val="18"/>
        </w:rPr>
        <w:t>Meta Description: Learn how to prevent port holds, documentation errors, and carrier bans when shipping dangerous goods under the IMDG Code.</w:t>
      </w:r>
    </w:p>
    <w:p/>
    <w:p>
      <w:r>
        <w:t>In ocean freight, hazardous cargo generates higher revenue for carriers and ports, but a single missing code causes immediate cargo holds.</w:t>
      </w:r>
    </w:p>
    <w:p>
      <w:r>
        <w:t>Most dangerous goods move safely when handled according to the International Maritime Dangerous Goods Code. Problems begin when an exporter misses a clerical requirement or skips a packing standard. Regulatory oversight across global ports remains strict. As a result, minor paperwork mistakes quickly lead to costly delays for shippers.</w:t>
      </w:r>
    </w:p>
    <w:p>
      <w:pPr>
        <w:pStyle w:val="Heading2"/>
      </w:pPr>
      <w:r>
        <w:t>The Nine Classes of Dangerous Goods</w:t>
      </w:r>
    </w:p>
    <w:p>
      <w:r>
        <w:t>Classification forms the foundation of HAZMAT freight compliance.</w:t>
      </w:r>
    </w:p>
    <w:p>
      <w:r>
        <w:t>Class 1 covers explosives such as ammunition and fireworks. Class 2 includes compressed, liquefied, or dissolved gases like propane, oxygen, and carbon dioxide. Class 3 encompasses flammable liquids, including paints, varnishes, solvents, perfumes, disinfectants, and alcohols.</w:t>
      </w:r>
    </w:p>
    <w:p>
      <w:r>
        <w:t>Class 4 consists of flammable solids, such as matches and powdered metals that ignite from heat or friction. Class 5 covers oxidizers and organic peroxides like nitrates, fertilizers, and hydrogen peroxide that cause other materials to ignite. Class 6 includes toxic and infectious substances like pesticides and medical samples.</w:t>
      </w:r>
    </w:p>
    <w:p>
      <w:r>
        <w:t>Class 7 covers radioactive materials used in medical preparations and industrial isotopes. Class 8 includes corrosive substances such as acids, alkalis, and battery electrolytes that destroy fabrics and metals. Class 9 covers miscellaneous hazardous goods, including lithium batteries and dry ice.</w:t>
      </w:r>
    </w:p>
    <w:p>
      <w:r>
        <w:t>Every class demands specific packaging, placards, and markings. When markings are incorrect or missing, terminal operators deny the box entry at the gate.</w:t>
      </w:r>
    </w:p>
    <w:p>
      <w:pPr>
        <w:pStyle w:val="Heading2"/>
      </w:pPr>
      <w:r>
        <w:t>Why IMO Containers Get Blocked</w:t>
      </w:r>
    </w:p>
    <w:p>
      <w:r>
        <w:t>Cargo holds rarely stem from chemical danger alone. Human error and incomplete paperwork trigger almost every delay.</w:t>
      </w:r>
    </w:p>
    <w:p>
      <w:r>
        <w:t>For Class 3 flammable liquids, exporters frequently submit vague descriptions like "paint" on shipping papers. Ocean carriers require precise entries on all documentation. The mandatory declaration must state "Paint, flammable, UN1263, Class 3, PG II". When descriptions fail to match, automated hold systems freeze the booking while the exporter corrects the documentation and forfeits their vessel slot.</w:t>
      </w:r>
    </w:p>
    <w:p>
      <w:r>
        <w:t>Class 5 oxidizers introduce stowage and segregation guidelines issues inside the terminal yard. If a dock worker places a container of nitrates beside Class 3 flammable liquids, port security halts movement immediately to prevent chemical reactions. Resolving container segregation inside a crowded port often takes days.</w:t>
      </w:r>
    </w:p>
    <w:p>
      <w:r>
        <w:t>Class 8 corrosive goods face detailed physical inspection. An acid leak or pallet stain results in an immediate ban on loading. Ports require full repacking or disposal of contaminated materials, adding up to five days of downtime alongside specialized cleaning charges.</w:t>
      </w:r>
    </w:p>
    <w:p>
      <w:r>
        <w:t>Class 9 items, especially electric scooters with lithium-ion batteries, remain the most common cause of port holds between 2020 and 2025. Exporters ship vehicles without disclosing internal batteries. Port scanners detect the cells during intake, prompting carriers to block the container and blacklist the shipper.</w:t>
      </w:r>
    </w:p>
    <w:p>
      <w:r>
        <w:t>Disasters in Beirut, Tianjin, and Hamburg forced maritime terminals to enforce strict security protocols. Authorities routinely unpack flagged containers at port gates. They may move high-risk boxes to dedicated inspection zones or destroy non-compliant cargo without financial compensation. These measures protect port workers and terminal infrastructure from severe accidents.</w:t>
      </w:r>
    </w:p>
    <w:p>
      <w:pPr>
        <w:pStyle w:val="Heading2"/>
      </w:pPr>
      <w:r>
        <w:t>Mandatory Documentation for Ship Acceptance</w:t>
      </w:r>
    </w:p>
    <w:p>
      <w:r>
        <w:t>To clear port gates and secure vessel stowage, shippers must supply a full set of IMDG-compliant documents:</w:t>
      </w:r>
    </w:p>
    <w:p>
      <w:r/>
      <w:r>
        <w:rPr>
          <w:b/>
        </w:rPr>
        <w:t>1. Dangerous Goods Declaration (DGD)</w:t>
      </w:r>
      <w:r/>
    </w:p>
    <w:p>
      <w:r>
        <w:t>Signed by the exporter or an authorized agent, the DGD provides the Proper Shipping Name, UN Number, Hazard Class, Subclass, Packing Group, cargo quantity, container type, density, and temperature requirements. It includes formal confirmation that packaging meets IMDG standards.</w:t>
      </w:r>
    </w:p>
    <w:p>
      <w:r/>
      <w:r>
        <w:rPr>
          <w:b/>
        </w:rPr>
        <w:t>2. Material Safety Data Sheet (MSDS)</w:t>
      </w:r>
      <w:r/>
    </w:p>
    <w:p>
      <w:r>
        <w:t>Material safety data sheet verification allows carriers to check chemical properties, exposure risks, safe handling procedures, and spill response steps against the declared class.</w:t>
      </w:r>
    </w:p>
    <w:p>
      <w:r/>
      <w:r>
        <w:rPr>
          <w:b/>
        </w:rPr>
        <w:t>3. Container Packing Certificate (CPC)</w:t>
      </w:r>
      <w:r/>
    </w:p>
    <w:p>
      <w:r>
        <w:t>Authorized by the cargo agent or stuffing facility, this document verifies that cargo was packed without leaks, secured correctly, and separated from incompatible materials.</w:t>
      </w:r>
    </w:p>
    <w:p>
      <w:r/>
      <w:r>
        <w:rPr>
          <w:b/>
        </w:rPr>
        <w:t>4. Bill of Lading (B/L)</w:t>
      </w:r>
      <w:r/>
    </w:p>
    <w:p>
      <w:r>
        <w:t xml:space="preserve">The transport document must state the IMO designation in the description field, using formatted text such as: </w:t>
      </w:r>
      <w:r>
        <w:rPr>
          <w:i/>
        </w:rPr>
        <w:t>UN 3480, Lithium-ion batteries, Class 9, PG II, Marine pollutant</w:t>
      </w:r>
      <w:r>
        <w:t>.</w:t>
      </w:r>
    </w:p>
    <w:p>
      <w:r/>
      <w:r>
        <w:rPr>
          <w:b/>
        </w:rPr>
        <w:t>5. UN Packaging Certificate</w:t>
      </w:r>
      <w:r/>
    </w:p>
    <w:p>
      <w:r>
        <w:t xml:space="preserve">IMO cargo requires containers and cartons certified under UN standards. The physical box must display a UN packaging specification marking, such as </w:t>
      </w:r>
      <w:r>
        <w:rPr>
          <w:i/>
        </w:rPr>
        <w:t>4G/Y30/S/23/UA/123456</w:t>
      </w:r>
      <w:r>
        <w:t>, where "UA" represents the certifying country.</w:t>
      </w:r>
    </w:p>
    <w:p>
      <w:r/>
      <w:r>
        <w:rPr>
          <w:b/>
        </w:rPr>
        <w:t>6. Container Placards and Marking</w:t>
      </w:r>
      <w:r/>
    </w:p>
    <w:p>
      <w:r>
        <w:t>Containers require waterproof placards and inscriptions displaying the Proper Shipping Name on all four sides. Stickers must measure at least 250 mm, feature contrasting colors, and remain clearly legible.</w:t>
      </w:r>
    </w:p>
    <w:p>
      <w:r>
        <w:t>Major carriers like Maersk, MSC, and CMA CGM rely on software to enforce compliance. Discrepancies between the DGD and Bill of Lading trigger automatic system blocks that local port managers cannot manually override. Exporters can track container status through SeaRates Container Tracking to catch documentation holds early.</w:t>
      </w:r>
    </w:p>
    <w:p>
      <w:pPr>
        <w:pStyle w:val="Heading2"/>
      </w:pPr>
      <w:r>
        <w:t>Operational Mistakes, Real Cases, and Penalties</w:t>
      </w:r>
    </w:p>
    <w:p>
      <w:r>
        <w:t>Missteps carry severe financial and legal penalties:</w:t>
      </w:r>
    </w:p>
    <w:p>
      <w:pPr>
        <w:pStyle w:val="ListBullet"/>
      </w:pPr>
      <w:r/>
      <w:r>
        <w:rPr>
          <w:b/>
        </w:rPr>
        <w:t>Undeclared HAZMAT:</w:t>
      </w:r>
      <w:r>
        <w:t xml:space="preserve"> Labeling dangerous cargo as ordinary freight (such as shipping unclassified cleaning chemicals) brings fines up to $10,000 and a six-month booking ban.</w:t>
      </w:r>
    </w:p>
    <w:p>
      <w:pPr>
        <w:pStyle w:val="ListBullet"/>
      </w:pPr>
      <w:r/>
      <w:r>
        <w:rPr>
          <w:b/>
        </w:rPr>
        <w:t>Non-certified packaging:</w:t>
      </w:r>
      <w:r>
        <w:t xml:space="preserve"> Packing goods in standard plastic canisters or unapproved pallets results in repacking demands and missed vessel departures.</w:t>
      </w:r>
    </w:p>
    <w:p>
      <w:pPr>
        <w:pStyle w:val="ListBullet"/>
      </w:pPr>
      <w:r/>
      <w:r>
        <w:rPr>
          <w:b/>
        </w:rPr>
        <w:t>Document discrepancies:</w:t>
      </w:r>
      <w:r>
        <w:t xml:space="preserve"> Inconsistent UN numbers across the DGD, MSDS, and Bill of Lading trigger immediate terminal holds.</w:t>
      </w:r>
    </w:p>
    <w:p>
      <w:pPr>
        <w:pStyle w:val="ListBullet"/>
      </w:pPr>
      <w:r/>
      <w:r>
        <w:rPr>
          <w:b/>
        </w:rPr>
        <w:t>Unapproved gate-in:</w:t>
      </w:r>
      <w:r>
        <w:t xml:space="preserve"> Delivering containers to the terminal without prior carrier approval results in gate refusal.</w:t>
      </w:r>
    </w:p>
    <w:p>
      <w:pPr>
        <w:pStyle w:val="ListBullet"/>
      </w:pPr>
      <w:r/>
      <w:r>
        <w:rPr>
          <w:b/>
        </w:rPr>
        <w:t>Defective placards:</w:t>
      </w:r>
      <w:r>
        <w:t xml:space="preserve"> Affixing placards on merely two sides or using worn stickers causes automatic delays.</w:t>
      </w:r>
    </w:p>
    <w:p>
      <w:r>
        <w:t>Practical examples illustrate the impact of these errors:</w:t>
      </w:r>
    </w:p>
    <w:p>
      <w:pPr>
        <w:pStyle w:val="ListBullet"/>
      </w:pPr>
      <w:r/>
      <w:r>
        <w:rPr>
          <w:b/>
        </w:rPr>
        <w:t>Case 1 (Class 3 Paints):</w:t>
      </w:r>
      <w:r>
        <w:t xml:space="preserve"> A shipper listed "paint materials" without indicating Class 3. MSC detained the box before vessel departure, incurring ten days of downtime, mandatory repackaging, and a $2,500 penalty.</w:t>
      </w:r>
    </w:p>
    <w:p>
      <w:pPr>
        <w:pStyle w:val="ListBullet"/>
      </w:pPr>
      <w:r/>
      <w:r>
        <w:rPr>
          <w:b/>
        </w:rPr>
        <w:t>Case 2 (Class 5.1 Fertilizers):</w:t>
      </w:r>
      <w:r>
        <w:t xml:space="preserve"> A container of nitrates was placed next to food shipments. Port inspectors identified the segregation breach, costing $1,200 in relocation charges and a lost vessel slot.</w:t>
      </w:r>
    </w:p>
    <w:p>
      <w:pPr>
        <w:pStyle w:val="ListBullet"/>
      </w:pPr>
      <w:r/>
      <w:r>
        <w:rPr>
          <w:b/>
        </w:rPr>
        <w:t>Case 3 (Class 9 Electric Scooters):</w:t>
      </w:r>
      <w:r>
        <w:t xml:space="preserve"> A shipper omitted internal battery details on shipping forms. Maersk rejected the booking and issued a formal compliance warning.</w:t>
      </w:r>
    </w:p>
    <w:p>
      <w:pPr>
        <w:pStyle w:val="Heading2"/>
      </w:pPr>
      <w:r>
        <w:t>Compliance Checklist for Shippers</w:t>
      </w:r>
    </w:p>
    <w:p>
      <w:r>
        <w:t>Preventing terminal holds requires thorough preparation before gate-in:</w:t>
      </w:r>
    </w:p>
    <w:p>
      <w:pPr>
        <w:pStyle w:val="ListNumber"/>
      </w:pPr>
      <w:r>
        <w:t>Verify the UN Number and hazard class against current IMDG databases.</w:t>
      </w:r>
    </w:p>
    <w:p>
      <w:pPr>
        <w:pStyle w:val="ListNumber"/>
      </w:pPr>
      <w:r>
        <w:t>Secure advance IMO approval from the shipping line by submitting the MSDS, a preliminary DGD, planned itinerary, and cargo specifications.</w:t>
      </w:r>
    </w:p>
    <w:p>
      <w:pPr>
        <w:pStyle w:val="ListNumber"/>
      </w:pPr>
      <w:r>
        <w:t>Package goods in containers bearing valid UN specification markings.</w:t>
      </w:r>
    </w:p>
    <w:p>
      <w:pPr>
        <w:pStyle w:val="ListNumber"/>
      </w:pPr>
      <w:r>
        <w:t>Apply waterproof placards to all four exterior sides of the container.</w:t>
      </w:r>
    </w:p>
    <w:p>
      <w:pPr>
        <w:pStyle w:val="ListNumber"/>
      </w:pPr>
      <w:r>
        <w:t>Assemble the complete document package: DGD, MSDS, CPC, Bill of Lading bearing IMO endorsements, packaging certificates, and cargo insurance.</w:t>
      </w:r>
    </w:p>
    <w:p>
      <w:pPr>
        <w:pStyle w:val="ListNumber"/>
      </w:pPr>
      <w:r>
        <w:t>Notify forwarders and port terminals of IMO status before dispatch.</w:t>
      </w:r>
    </w:p>
    <w:p>
      <w:pPr>
        <w:pStyle w:val="ListNumber"/>
      </w:pPr>
      <w:r>
        <w:t>Ensure at least 50% of handling staff complete IMDG Code foundation training.</w:t>
      </w:r>
    </w:p>
    <w:p>
      <w:r>
        <w:t>Rates and space can be secured using Logistics Explorer, while non-standard routing and digital integration are available through Request an IT Quote.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