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Suez Canal Return 2026: Red Sea Shipping Risk and Routing</w:t>
      </w:r>
    </w:p>
    <w:p>
      <w:r>
        <w:rPr>
          <w:i/>
          <w:sz w:val="18"/>
        </w:rPr>
        <w:t>Meta title: Suez Canal Return 2026: Red Sea Risk, Cape Rerouting</w:t>
        <w:br/>
        <w:t>Meta description: Carriers are testing Suez Canal transits again in 2026. What changed in the Red Sea, how selective routing works, and when the Cape still wins.</w:t>
      </w:r>
    </w:p>
    <w:p>
      <w:r>
        <w:t>Two years of sailing around Africa, and now some of the biggest container lines are quietly steering back toward the Red Sea. The canal reopened its place on the schedule sheet before it reopened its place in anyone's risk models.</w:t>
      </w:r>
    </w:p>
    <w:p>
      <w:r>
        <w:t>That gap shapes every routing call in 2026. The question facing shippers and forwarders right now is blunt: can you actually route cargo through Suez this year, or does the arithmetic of freight rates, insurance, and container transit times still point south around the Cape?</w:t>
      </w:r>
    </w:p>
    <w:p>
      <w:pPr>
        <w:pStyle w:val="Heading2"/>
      </w:pPr>
      <w:r>
        <w:t>Security in the Red Sea: better numbers, same category</w:t>
      </w:r>
    </w:p>
    <w:p>
      <w:r>
        <w:t>Attack frequency has dropped. Insurers still place the region in the high-risk column. Incidents affecting cargo safety keep getting logged, so underwriters price the corridor accordingly, and carriers have stopped treating the danger as a temporary surcharge situation. It sits in their base case now, treated as a lasting input to pricing, cover, and network design.</w:t>
      </w:r>
    </w:p>
    <w:p>
      <w:r>
        <w:t>So what we are watching is a partial reopening under test conditions. A handful of services have gone back through the waterway. Most capacity hasn't. Traffic through Suez in 2026 is an option on the menu, nothing close to a default corridor. And commercial routing decisions no longer turn on canal tolls alone; insurers demand more, security classifications carry more weight, and networks need to hold steady before anyone commits tonnage.</w:t>
      </w:r>
    </w:p>
    <w:p>
      <w:pPr>
        <w:pStyle w:val="Heading2"/>
      </w:pPr>
      <w:r>
        <w:t>Why only some services go via Suez</w:t>
      </w:r>
    </w:p>
    <w:p>
      <w:r>
        <w:t>The carriers that returned are doing it selectively. They run targeted transits where the operational upside justifies the exposure, while the rest of the network keeps its distance from the region. The hybrid patterns look roughly like this:</w:t>
      </w:r>
    </w:p>
    <w:p>
      <w:pPr>
        <w:pStyle w:val="ListBullet"/>
      </w:pPr>
      <w:r>
        <w:t>Suez for time-critical or higher-value services</w:t>
      </w:r>
    </w:p>
    <w:p>
      <w:pPr>
        <w:pStyle w:val="ListBullet"/>
      </w:pPr>
      <w:r>
        <w:t>Cape of Good Hope rerouting kept for cost-driven loops</w:t>
      </w:r>
    </w:p>
    <w:p>
      <w:pPr>
        <w:pStyle w:val="ListBullet"/>
      </w:pPr>
      <w:r>
        <w:t>Fast fallback options built into the network in case things escalate again</w:t>
      </w:r>
    </w:p>
    <w:p>
      <w:r>
        <w:t>This buys back some transit-time advantage without betting the whole schedule on regional stability holding.</w:t>
      </w:r>
    </w:p>
    <w:p>
      <w:pPr>
        <w:pStyle w:val="Heading2"/>
      </w:pPr>
      <w:r>
        <w:t>Suez or Cape: making the call</w:t>
      </w:r>
    </w:p>
    <w:p>
      <w:r>
        <w:t>Run the comparison honestly. Freight rates, sailing distances, and container transit times all differ between the two options. Then layer on what 2026 actually demands: the insurance classification attached to each option, schedule reliability and contingency planning behind it, your customers' risk tolerance and contractual obligations, and how much slack the network has if a route change comes suddenly.</w:t>
      </w:r>
    </w:p>
    <w:p>
      <w:r>
        <w:t>Often the Cape remains operationally superior because it is predictable. Sometimes speed wins, when the cargo justifies it and the accepted risk stays inside tolerance.</w:t>
      </w:r>
    </w:p>
    <w:p>
      <w:pPr>
        <w:pStyle w:val="Heading3"/>
      </w:pPr>
      <w:r>
        <w:t>Faster isn't automatically better</w:t>
      </w:r>
    </w:p>
    <w:p>
      <w:r>
        <w:t>A shorter transit through Suez can quietly damage the supply chain behind it. Quick arrivals strain inland transport, inflate demurrage and detention exposure, and throw off warehousing and inventory plans that were built around longer lead times. Reliability beats raw speed for most operators. The market currently rewards corridors that give planners a steady weekly rhythm, even when that means extra days at sea. The past two years made that point repeatedly: volatile schedules damage operations more than slower ones do.</w:t>
      </w:r>
    </w:p>
    <w:p>
      <w:pPr>
        <w:pStyle w:val="Heading2"/>
      </w:pPr>
      <w:r>
        <w:t>What this means for forwarders and shippers</w:t>
      </w:r>
    </w:p>
    <w:p>
      <w:r>
        <w:t>Both sides feel the squeeze from volatility, and both need to read routing through risk, reliability, and overall supply chain strategy. In practice:</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Forwarders</w:t>
            </w:r>
          </w:p>
        </w:tc>
        <w:tc>
          <w:tcPr>
            <w:tcW w:type="dxa" w:w="2880"/>
          </w:tcPr>
          <w:p>
            <w:r>
              <w:t>Shippers / cargo owners</w:t>
            </w:r>
          </w:p>
        </w:tc>
      </w:tr>
      <w:tr>
        <w:tc>
          <w:tcPr>
            <w:tcW w:type="dxa" w:w="2880"/>
          </w:tcPr>
          <w:p>
            <w:r>
              <w:t>Role of routing</w:t>
            </w:r>
          </w:p>
        </w:tc>
        <w:tc>
          <w:tcPr>
            <w:tcW w:type="dxa" w:w="2880"/>
          </w:tcPr>
          <w:p>
            <w:r>
              <w:t>Consultative, strategic service</w:t>
            </w:r>
          </w:p>
        </w:tc>
        <w:tc>
          <w:tcPr>
            <w:tcW w:type="dxa" w:w="2880"/>
          </w:tcPr>
          <w:p>
            <w:r>
              <w:t>Strategic supply chain decision</w:t>
            </w:r>
          </w:p>
        </w:tc>
      </w:tr>
      <w:tr>
        <w:tc>
          <w:tcPr>
            <w:tcW w:type="dxa" w:w="2880"/>
          </w:tcPr>
          <w:p>
            <w:r>
              <w:t>Expectations</w:t>
            </w:r>
          </w:p>
        </w:tc>
        <w:tc>
          <w:tcPr>
            <w:tcW w:type="dxa" w:w="2880"/>
          </w:tcPr>
          <w:p>
            <w:r>
              <w:t>Clients want clear guidance on transit time, cost, risk, reliability trade-offs</w:t>
            </w:r>
          </w:p>
        </w:tc>
        <w:tc>
          <w:tcPr>
            <w:tcW w:type="dxa" w:w="2880"/>
          </w:tcPr>
          <w:p>
            <w:r>
              <w:t>Routes must support inventory strategy, cash flow, service levels</w:t>
            </w:r>
          </w:p>
        </w:tc>
      </w:tr>
      <w:tr>
        <w:tc>
          <w:tcPr>
            <w:tcW w:type="dxa" w:w="2880"/>
          </w:tcPr>
          <w:p>
            <w:r>
              <w:t>Method</w:t>
            </w:r>
          </w:p>
        </w:tc>
        <w:tc>
          <w:tcPr>
            <w:tcW w:type="dxa" w:w="2880"/>
          </w:tcPr>
          <w:p>
            <w:r>
              <w:t>Planning work organized around adjustable scenarios</w:t>
            </w:r>
          </w:p>
        </w:tc>
        <w:tc>
          <w:tcPr>
            <w:tcW w:type="dxa" w:w="2880"/>
          </w:tcPr>
          <w:p>
            <w:r>
              <w:t>Route choice evaluated within broader supply chain scenarios</w:t>
            </w:r>
          </w:p>
        </w:tc>
      </w:tr>
      <w:tr>
        <w:tc>
          <w:tcPr>
            <w:tcW w:type="dxa" w:w="2880"/>
          </w:tcPr>
          <w:p>
            <w:r>
              <w:t>Communication</w:t>
            </w:r>
          </w:p>
        </w:tc>
        <w:tc>
          <w:tcPr>
            <w:tcW w:type="dxa" w:w="2880"/>
          </w:tcPr>
          <w:p>
            <w:r>
              <w:t>Transparent explanation of routing logic and risks</w:t>
            </w:r>
          </w:p>
        </w:tc>
        <w:tc>
          <w:tcPr>
            <w:tcW w:type="dxa" w:w="2880"/>
          </w:tcPr>
          <w:p>
            <w:r>
              <w:t>Coordination among logistics, finance, and operations teams</w:t>
            </w:r>
          </w:p>
        </w:tc>
      </w:tr>
      <w:tr>
        <w:tc>
          <w:tcPr>
            <w:tcW w:type="dxa" w:w="2880"/>
          </w:tcPr>
          <w:p>
            <w:r>
              <w:t>Speed vs reliability</w:t>
            </w:r>
          </w:p>
        </w:tc>
        <w:tc>
          <w:tcPr>
            <w:tcW w:type="dxa" w:w="2880"/>
          </w:tcPr>
          <w:p>
            <w:r>
              <w:t>Articulate compromises between speed, cost, schedule reliability</w:t>
            </w:r>
          </w:p>
        </w:tc>
        <w:tc>
          <w:tcPr>
            <w:tcW w:type="dxa" w:w="2880"/>
          </w:tcPr>
          <w:p>
            <w:r>
              <w:t>Decide when faster transit earns the added risk or cost</w:t>
            </w:r>
          </w:p>
        </w:tc>
      </w:tr>
      <w:tr>
        <w:tc>
          <w:tcPr>
            <w:tcW w:type="dxa" w:w="2880"/>
          </w:tcPr>
          <w:p>
            <w:r>
              <w:t>Preferences</w:t>
            </w:r>
          </w:p>
        </w:tc>
        <w:tc>
          <w:tcPr>
            <w:tcW w:type="dxa" w:w="2880"/>
          </w:tcPr>
          <w:p>
            <w:r>
              <w:t>Multiple options with defined risk profiles</w:t>
            </w:r>
          </w:p>
        </w:tc>
        <w:tc>
          <w:tcPr>
            <w:tcW w:type="dxa" w:w="2880"/>
          </w:tcPr>
          <w:p>
            <w:r>
              <w:t>Predictable Cape routings balanced with selective Suez use</w:t>
            </w:r>
          </w:p>
        </w:tc>
      </w:tr>
      <w:tr>
        <w:tc>
          <w:tcPr>
            <w:tcW w:type="dxa" w:w="2880"/>
          </w:tcPr>
          <w:p>
            <w:r>
              <w:t>Planning effect</w:t>
            </w:r>
          </w:p>
        </w:tc>
        <w:tc>
          <w:tcPr>
            <w:tcW w:type="dxa" w:w="2880"/>
          </w:tcPr>
          <w:p>
            <w:r>
              <w:t>More realistic ETAs, stronger customer trust</w:t>
            </w:r>
          </w:p>
        </w:tc>
        <w:tc>
          <w:tcPr>
            <w:tcW w:type="dxa" w:w="2880"/>
          </w:tcPr>
          <w:p>
            <w:r>
              <w:t>Better inventory planning and demand fulfilment</w:t>
            </w:r>
          </w:p>
        </w:tc>
      </w:tr>
      <w:tr>
        <w:tc>
          <w:tcPr>
            <w:tcW w:type="dxa" w:w="2880"/>
          </w:tcPr>
          <w:p>
            <w:r>
              <w:t>Strategic value</w:t>
            </w:r>
          </w:p>
        </w:tc>
        <w:tc>
          <w:tcPr>
            <w:tcW w:type="dxa" w:w="2880"/>
          </w:tcPr>
          <w:p>
            <w:r>
              <w:t>Differentiation through advisory work, separate from price</w:t>
            </w:r>
          </w:p>
        </w:tc>
        <w:tc>
          <w:tcPr>
            <w:tcW w:type="dxa" w:w="2880"/>
          </w:tcPr>
          <w:p>
            <w:r>
              <w:t>Resilience and long-term alignment</w:t>
            </w:r>
          </w:p>
        </w:tc>
      </w:tr>
    </w:tbl>
    <w:p>
      <w:pPr>
        <w:pStyle w:val="Heading2"/>
      </w:pPr>
      <w:r>
        <w:t>The bottom line for 2026</w:t>
      </w:r>
    </w:p>
    <w:p>
      <w:r>
        <w:t>The canal plays a larger role in 2026 planning than it did a year ago, though its comeback remains partial and heavily conditional. Risk now belongs inside every routing decision as a permanent variable. Treat corridor choice as a rolling decision that gets revisited as conditions move. Keep the reasoning documented and review it regularly, because conditions on this corridor can shift quickly.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