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Summer 2025 Tariff Traps and Ocean Freight Delays</w:t>
      </w:r>
    </w:p>
    <w:p>
      <w:r>
        <w:rPr>
          <w:b/>
          <w:i/>
          <w:sz w:val="18"/>
        </w:rPr>
        <w:t xml:space="preserve">Meta Title: </w:t>
      </w:r>
      <w:r>
        <w:rPr>
          <w:i/>
          <w:sz w:val="18"/>
        </w:rPr>
        <w:t>Summer 2025 Tariff Traps and Ocean Freight Delays</w:t>
      </w:r>
    </w:p>
    <w:p>
      <w:r>
        <w:rPr>
          <w:b/>
          <w:i/>
          <w:sz w:val="18"/>
        </w:rPr>
        <w:t xml:space="preserve">Meta Description: </w:t>
      </w:r>
      <w:r>
        <w:rPr>
          <w:i/>
          <w:sz w:val="18"/>
        </w:rPr>
        <w:t>Tariff reversals will not prevent port congestion. See how 2025 trade shifts trigger US port delays, container shortages, and supply chain backlogs.</w:t>
      </w:r>
    </w:p>
    <w:p/>
    <w:p>
      <w:pPr>
        <w:pStyle w:val="Heading2"/>
      </w:pPr>
      <w:r>
        <w:t>Political Turbulence and Trade Policy Instability</w:t>
      </w:r>
    </w:p>
    <w:p>
      <w:r>
        <w:t>Trade policy in early 2025 disrupted international supply planning across every major trade corridor. Ocean freight schedules continue to feel the impact of rapid policy shifts enacted between January and April 2025. During those 102 days, governments published 25 separate tariff announcements, averaging a new mandate every 3.6 days. Peak instability occurred between March 4 and March 10, when 5 distinct tariff changes took place in a single seven-day window.</w:t>
      </w:r>
    </w:p>
    <w:p>
      <w:r>
        <w:t>Policy updates shifted with extreme speed. On April 9, authorities paused duties for 57 countries just 12 hours after announcing them. Overall, regulators reversed or suspended 13 of the 25 announced tariffs, so over 50% changed course after initial rollout. The remaining 12 mandates went into full effect. Average tariff rates rose from 2.5% in 2024 to 16.5% by April 2025, with projections reaching 24% by summer 2025. This marks the highest protectionist rate since before World War II.</w:t>
      </w:r>
    </w:p>
    <w:p>
      <w:r>
        <w:t>Global responses followed immediately. Retaliatory measures from 57 nations affected over 57,000 cargo categories. Markets reacted sharply on April 5 following a universal 10% tariff notice, wiping out $6.6 trillion in equity value within 48 hours. Individual policy timelines also broke historical records. In April, China introduced a 125% import duty, the steepest tariff rate recorded since the 1930s. Implementation speed reached an extreme on February 1, when Chinese tariffs took effect on February 4 after a three-day window. Automotive parts tariffs announced on January 20 remained stalled for over 105 days into May.</w:t>
      </w:r>
    </w:p>
    <w:p>
      <w:pPr>
        <w:pStyle w:val="Heading2"/>
      </w:pPr>
      <w:r>
        <w:t>Predictive Port Delays across US Gateways and Core Bottlenecks</w:t>
      </w:r>
    </w:p>
    <w:p>
      <w:r>
        <w:t>Lifting or lowering duties does not clear shipping lanes right away. Ocean vessels and port terminals take weeks to process backlogged cargo. The volume spikes caused by April tariff changes hit US arrival ports in structured waves throughout late spring and early summer 2025.</w:t>
      </w:r>
    </w:p>
    <w:p>
      <w:r>
        <w:t>Port arrival forecasts indicate specific delay windows across major trade hubs:</w:t>
      </w:r>
    </w:p>
    <w:p>
      <w:pPr>
        <w:pStyle w:val="ListBullet"/>
      </w:pPr>
      <w:r>
        <w:t>Los Angeles faces heavy congestion starting in mid-May 2025.</w:t>
      </w:r>
    </w:p>
    <w:p>
      <w:pPr>
        <w:pStyle w:val="ListBullet"/>
      </w:pPr>
      <w:r>
        <w:t>Houston and Chicago encounter severe transit slowdowns by late May 2025.</w:t>
      </w:r>
    </w:p>
    <w:p>
      <w:pPr>
        <w:pStyle w:val="ListBullet"/>
      </w:pPr>
      <w:r>
        <w:t>New York handles peak shipment backlogs in early June 2025.</w:t>
      </w:r>
    </w:p>
    <w:p>
      <w:r>
        <w:t>These delayed arrival waves happen because physical shipping operations move far slower than policy announcements. Five operational bottlenecks stall supply chain stabilization:</w:t>
      </w:r>
    </w:p>
    <w:p>
      <w:r>
        <w:t>Factory restarts require extended lead time. Chinese suppliers that suspended manufacturing during tariff spikes need weeks to adjust raw material orders and reschedule production lines.</w:t>
      </w:r>
    </w:p>
    <w:p>
      <w:r>
        <w:t>Purchase order management creates administrative friction. Thousands of open purchase orders require supplier sign-off because original delivery dates lose validity.</w:t>
      </w:r>
    </w:p>
    <w:p>
      <w:r>
        <w:t>Vessel space remains tight. When shipping lines resume full service, large retailers like Amazon and Walmart secure container slots first, restricting space for smaller shippers.</w:t>
      </w:r>
    </w:p>
    <w:p>
      <w:r>
        <w:t>Empty container distribution remains severely unbalanced. Destination port yards accumulate empty boxes that sit unused without returning into active circulation.</w:t>
      </w:r>
    </w:p>
    <w:p>
      <w:r>
        <w:t>Structural supply chain adjustments take months to finalize. Companies relocating manufacturing facilities or shifting vendor networks must build and test new workflows to confirm carrier reliability.</w:t>
      </w:r>
    </w:p>
    <w:p>
      <w:pPr>
        <w:pStyle w:val="Heading2"/>
      </w:pPr>
      <w:r>
        <w:t>Disruption Signals and the Bullwhip Effect</w:t>
      </w:r>
    </w:p>
    <w:p>
      <w:r>
        <w:t>Logistics planners can spot impending supply chain friction by tracking early operational indicators. Six market behaviors signal growing port gridlock:</w:t>
      </w:r>
    </w:p>
    <w:p>
      <w:pPr>
        <w:pStyle w:val="ListBullet"/>
      </w:pPr>
      <w:r>
        <w:t>Excessive ordering: Buyers purchase extra stock in anticipation of price hikes, creating demand spikes that outpace actual consumption.</w:t>
      </w:r>
    </w:p>
    <w:p>
      <w:pPr>
        <w:pStyle w:val="ListBullet"/>
      </w:pPr>
      <w:r>
        <w:t>Shipment suspensions: Companies pause outgoing cargo to avoid high tariffs, leaving suppliers with open backlogs.</w:t>
      </w:r>
    </w:p>
    <w:p>
      <w:pPr>
        <w:pStyle w:val="ListBullet"/>
      </w:pPr>
      <w:r>
        <w:t>Post-tariff demand surges: Lowered tariff rates provoke a sudden rush to book ship space and warehouse capacity.</w:t>
      </w:r>
    </w:p>
    <w:p>
      <w:pPr>
        <w:pStyle w:val="ListBullet"/>
      </w:pPr>
      <w:r>
        <w:t>Port congestion risks: Delayed shipments arrive at harbors simultaneously, creating bottlenecks across terminal gates.</w:t>
      </w:r>
    </w:p>
    <w:p>
      <w:pPr>
        <w:pStyle w:val="ListBullet"/>
      </w:pPr>
      <w:r>
        <w:t>Supplier stockpiling: Manufacturers produce excess inventory out of fear, causing inventory mismatches.</w:t>
      </w:r>
    </w:p>
    <w:p>
      <w:pPr>
        <w:pStyle w:val="ListBullet"/>
      </w:pPr>
      <w:r>
        <w:t>The Bullwhip Effect: Minor shifts in consumer demand cause much larger order swings upstream, creating both shortages and unsold goods.</w:t>
      </w:r>
    </w:p>
    <w:p>
      <w:r>
        <w:t>This bullwhip phenomenon occurs when supply chain participants overreact to short-term demand shifts. Orders placed with suppliers significantly exceed actual consumption, causing warehouse congestion and transport delays.</w:t>
      </w:r>
    </w:p>
    <w:p>
      <w:pPr>
        <w:pStyle w:val="Heading2"/>
      </w:pPr>
      <w:r>
        <w:t>Operational Considerations for Trading Businesses</w:t>
      </w:r>
    </w:p>
    <w:p>
      <w:r>
        <w:t>Managing trade volatility over the coming months requires proactive risk management over reactive adjustments. Importers and exporters can protect their operations with practical steps:</w:t>
      </w:r>
    </w:p>
    <w:p>
      <w:r>
        <w:t>Assume 30 to 60 day delays on ocean shipments regardless of rate changes. Protect warehouse capacity for high-return and essential goods. Maintain regular contact with ocean carriers to monitor space allocation, and consider efficient non-traditional transport providers. Focus on flexible long-term supplier partnerships that accommodate schedule changes. Deploy real-time tracking systems equipped with predictive analytics for faster decision-making.</w:t>
      </w:r>
    </w:p>
    <w:p>
      <w:pPr>
        <w:pStyle w:val="Heading2"/>
      </w:pPr>
      <w:r>
        <w:t>Shipment Exceptions and Real-Time Tracking with SeaRates</w:t>
      </w:r>
    </w:p>
    <w:p>
      <w:r>
        <w:t>Managing transit risks in a volatile market depends on early notification of schedule changes, route modifications, and customs events. SeaRates Container Tracking provides real-time visibility across global container movements.</w:t>
      </w:r>
    </w:p>
    <w:p>
      <w:r>
        <w:t>The platform allows users to monitor freight by container number, bill of lading (BL), or booking reference. Tracking data aggregates live updates from over 200 ocean carriers in a single dashboard. Users access predictive ETA forecasts, transit time estimates, route mapping, and voyage updates.</w:t>
      </w:r>
    </w:p>
    <w:p>
      <w:r>
        <w:t>To manage potential disruptions, shippers can configure automated tracking alerts for up to 25 shipment exceptions per account. Businesses seeking automated data feeds can integrate SeaRates tracking tools directly via API connection or web integration, or reach out to sales@searates.com for specialized support.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