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Chain Trends in 2025: Key Logistics Operations</w:t>
      </w:r>
    </w:p>
    <w:p>
      <w:r>
        <w:rPr>
          <w:b/>
          <w:i/>
          <w:sz w:val="18"/>
        </w:rPr>
        <w:t xml:space="preserve">Meta Title: </w:t>
      </w:r>
      <w:r>
        <w:rPr>
          <w:i/>
          <w:sz w:val="18"/>
        </w:rPr>
        <w:t>2025 Supply Chain Trends: Tech and Freight Rates</w:t>
      </w:r>
    </w:p>
    <w:p>
      <w:r>
        <w:rPr>
          <w:b/>
          <w:i/>
          <w:sz w:val="18"/>
        </w:rPr>
        <w:t xml:space="preserve">Meta Description: </w:t>
      </w:r>
      <w:r>
        <w:rPr>
          <w:i/>
          <w:sz w:val="18"/>
        </w:rPr>
        <w:t>Track 2025 supply chain trends, AI rate calculation tools, and green freight strategies to manage costs and lower operational risks.</w:t>
      </w:r>
    </w:p>
    <w:p/>
    <w:p>
      <w:pPr>
        <w:pStyle w:val="Heading2"/>
      </w:pPr>
      <w:r>
        <w:t>Green Operations and Carbon Tracking</w:t>
      </w:r>
    </w:p>
    <w:p>
      <w:pPr>
        <w:spacing w:line="276" w:lineRule="auto" w:after="120"/>
      </w:pPr>
      <w:r>
        <w:rPr>
          <w:rFonts w:ascii="Calibri" w:hAnsi="Calibri"/>
          <w:sz w:val="22"/>
        </w:rPr>
        <w:t>Shippers and carriers face growing pressure to measure their environmental footprint accurately. Environmental responsibility in transport requires clear data rather than vague promises. Companies are switching to recyclable packaging, testing alternative fuels, avoiding overproduction, and updating infrastructure to cut emissions. Practical work starts by calculating carbon output across sea, air, rail, and road routes. Evaluating emissions per route helps cargo owners compare transport options directly and calculate emission offsets before booking. Balancing daily commercial targets with sustainable freight management sets the baseline for operational success in 2025.</w:t>
      </w:r>
    </w:p>
    <w:p>
      <w:pPr>
        <w:pStyle w:val="Heading2"/>
      </w:pPr>
      <w:r>
        <w:t>Practical Artificial Intelligence in Daily Operations</w:t>
      </w:r>
    </w:p>
    <w:p>
      <w:pPr>
        <w:spacing w:line="276" w:lineRule="auto" w:after="120"/>
      </w:pPr>
      <w:r>
        <w:rPr>
          <w:rFonts w:ascii="Calibri" w:hAnsi="Calibri"/>
          <w:sz w:val="22"/>
        </w:rPr>
        <w:t>Adding targeted artificial intelligence tools to cargo operations gives freight teams immediate answers on routine tasks. Point-to-point integration keeps data private while giving managers direct access to global analytics. Freight rate calculations, demurrage fees, transit time estimates, carrier selection, and real-time tracking can be processed within seconds. Shifting repetitive manual work to automated background systems allows teams to spend their time on core strategic priorities.</w:t>
      </w:r>
    </w:p>
    <w:p>
      <w:pPr>
        <w:pStyle w:val="Heading2"/>
      </w:pPr>
      <w:r>
        <w:t>Building Financial and Operational Resilience</w:t>
      </w:r>
    </w:p>
    <w:p>
      <w:pPr>
        <w:spacing w:line="276" w:lineRule="auto" w:after="120"/>
      </w:pPr>
      <w:r>
        <w:rPr>
          <w:rFonts w:ascii="Calibri" w:hAnsi="Calibri"/>
          <w:sz w:val="22"/>
        </w:rPr>
        <w:t>Global market instability and inflation mean freight businesses cannot afford vague pricing estimates. Building long-term supply chain resilience requires detailed cost breakdowns for every shipment. Miscalculations in container or truck loading, route distances, transit times, and freight rates quickly erode profit margins. Teams need instant visibility into costs along every trade route to build realistic transport strategies. Partnering with trusted logistics providers allows cargo owners to quantify potential risks and expand their carrier networks for competitive rates. Beyond basic booking, end-to-end management covers warehousing, inventory tracking, transport asset monitoring, and rate promotion. Logistics forwarders can also expand market coverage through affiliate programs, joint regional strategies, and tariff reselling features inside the SeaRates Vendor Package.</w:t>
      </w:r>
    </w:p>
    <w:p>
      <w:pPr>
        <w:pStyle w:val="Heading2"/>
      </w:pPr>
      <w:r>
        <w:t>Centralized Management with Integrated Digital Tools</w:t>
      </w:r>
    </w:p>
    <w:p>
      <w:pPr>
        <w:spacing w:line="276" w:lineRule="auto" w:after="120"/>
      </w:pPr>
      <w:r>
        <w:rPr>
          <w:rFonts w:ascii="Calibri" w:hAnsi="Calibri"/>
          <w:sz w:val="22"/>
        </w:rPr>
        <w:t>Managing complex freight workflows becomes far simpler when operations sit inside a single interface. Operating through a digital logistics platform like SeaRates Express ERP gives teams full control over daily shipments through one dashboard. The system integrates booking transparency, a Transport Management System with a built-in Tracking System, and direct access to the full suite of SeaRates digital tools. It also features a Rate Management System for tariff visibility and promotion, along with a Chat System that supports multiple chatbot integrations.</w:t>
      </w:r>
    </w:p>
    <w:p>
      <w:pPr>
        <w:pStyle w:val="Heading2"/>
      </w:pPr>
      <w:r>
        <w:t>Commercial Growth and Expanded Market Access</w:t>
      </w:r>
    </w:p>
    <w:p>
      <w:pPr>
        <w:spacing w:line="276" w:lineRule="auto" w:after="120"/>
      </w:pPr>
      <w:r>
        <w:rPr>
          <w:rFonts w:ascii="Calibri" w:hAnsi="Calibri"/>
          <w:sz w:val="22"/>
        </w:rPr>
        <w:t>Expanding commercial capabilities has become a primary goal for freight businesses adapting to post-COVID trade conditions and growing e-commerce demand. The SeaRates Vendor Package provides specialized tools to promote rates and services directly to active market participants. Within this package, Logistics Explorer helps carriers and freight forwarders publish and market their freight rates. At the same time, Logistics Map allows operators to display warehousing and transport capabilities to shippers looking for verified capacity. Custom integration quotes for the SeaRates Vendor Package are available directly from the team.</w:t>
      </w:r>
    </w:p>
    <w:p>
      <w:pPr>
        <w:pStyle w:val="Heading2"/>
      </w:pPr>
      <w:r>
        <w:t>Adapting to Industry Changes and Next Steps</w:t>
      </w:r>
    </w:p>
    <w:p>
      <w:pPr>
        <w:spacing w:line="276" w:lineRule="auto" w:after="120"/>
      </w:pPr>
      <w:r>
        <w:rPr>
          <w:rFonts w:ascii="Calibri" w:hAnsi="Calibri"/>
          <w:sz w:val="22"/>
        </w:rPr>
        <w:t>Meeting updated regulatory requirements and keeping pace with industry shifts calls for reliable shipment data, including booking analytics, transit time calculation, and real-time monitoring. Moving toward automated processes helps logistics companies maintain efficiency while fulfilling sustainability commitments. For direct assistance with your business needs, contact our team at sales@searates.com.</w:t>
      </w:r>
    </w:p>
    <w:p>
      <w:pPr>
        <w:spacing w:line="276" w:lineRule="auto" w:after="120"/>
      </w:pPr>
      <w:r>
        <w:rPr>
          <w:rFonts w:ascii="Calibri" w:hAnsi="Calibri"/>
          <w:sz w:val="22"/>
        </w:rPr>
        <w:t>Sophia Shkuro is a content manager from Dnipro, Ukraine. Believes that the more complex a thing is, the easier it should be to write about it. Dreams of a future vacation by the sea.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