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color w:val="111111"/>
          <w:sz w:val="40"/>
        </w:rPr>
        <w:t>TILOG LOGISTIX 2024: SeaRates in Bangkok</w:t>
      </w:r>
    </w:p>
    <w:p>
      <w:r>
        <w:rPr>
          <w:rFonts w:ascii="Arial" w:hAnsi="Arial"/>
          <w:i/>
          <w:color w:val="555555"/>
          <w:sz w:val="18"/>
        </w:rPr>
        <w:t>Meta Title: TILOG LOGISTIX 2024: SeaRates at BITEC</w:t>
      </w:r>
    </w:p>
    <w:p>
      <w:r>
        <w:rPr>
          <w:rFonts w:ascii="Arial" w:hAnsi="Arial"/>
          <w:i/>
          <w:color w:val="555555"/>
          <w:sz w:val="18"/>
        </w:rPr>
        <w:t>Meta Description: SeaRates joined 9,000+ attendees and 415 brands at TILOG LOGISTIX 2024 in Bangkok to showcase digital freight tools.</w:t>
      </w:r>
    </w:p>
    <w:p/>
    <w:p>
      <w:pPr>
        <w:spacing w:line="276" w:lineRule="auto" w:after="120"/>
      </w:pPr>
      <w:r>
        <w:rPr>
          <w:rFonts w:ascii="Arial" w:hAnsi="Arial"/>
          <w:sz w:val="22"/>
        </w:rPr>
        <w:t>Bangkok hosted TILOG LOGISTIX 2024 from August 15 to 17 at the BITEC exhibition center. Over three days, 415 technology and service provider brands from 25 countries set up alongside more than 9,000 entrepreneurs and operators.</w:t>
      </w:r>
    </w:p>
    <w:p>
      <w:pPr>
        <w:pStyle w:val="Heading2"/>
      </w:pPr>
      <w:r>
        <w:rPr>
          <w:rFonts w:ascii="Arial" w:hAnsi="Arial"/>
          <w:b/>
          <w:color w:val="222222"/>
          <w:sz w:val="28"/>
        </w:rPr>
        <w:t>Inside the BITEC Halls</w:t>
      </w:r>
    </w:p>
    <w:p>
      <w:pPr>
        <w:spacing w:line="276" w:lineRule="auto" w:after="120"/>
      </w:pPr>
      <w:r>
        <w:rPr>
          <w:rFonts w:ascii="Arial" w:hAnsi="Arial"/>
          <w:sz w:val="22"/>
        </w:rPr>
        <w:t>SeaRates Account Manager Kate Borkut represented the team at the event. She met with international attendees in group conference sessions and one-on-one meetings, presenting the SeaRates marketplace and digital community. Professionals across material handling, packaging, warehousing, and IT examined upcoming supply chain trends for 2024 and 2025.</w:t>
      </w:r>
    </w:p>
    <w:p>
      <w:pPr>
        <w:pStyle w:val="Heading2"/>
      </w:pPr>
      <w:r>
        <w:rPr>
          <w:rFonts w:ascii="Arial" w:hAnsi="Arial"/>
          <w:b/>
          <w:color w:val="222222"/>
          <w:sz w:val="28"/>
        </w:rPr>
        <w:t>Focus Areas and Field Discussions</w:t>
      </w:r>
    </w:p>
    <w:p>
      <w:pPr>
        <w:spacing w:line="276" w:lineRule="auto" w:after="120"/>
      </w:pPr>
      <w:r>
        <w:rPr>
          <w:rFonts w:ascii="Arial" w:hAnsi="Arial"/>
          <w:sz w:val="22"/>
        </w:rPr>
        <w:t>Talks centered on practical ways to apply digital logistics tools, raise supply chain efficiency, and integrate IT solutions into daily freight management. Global business leaders and product developers gathered around one clear target: operational efficiency.</w:t>
      </w:r>
    </w:p>
    <w:p>
      <w:pPr>
        <w:spacing w:line="276" w:lineRule="auto" w:after="120"/>
      </w:pPr>
      <w:r>
        <w:rPr>
          <w:rFonts w:ascii="Arial" w:hAnsi="Arial"/>
          <w:sz w:val="22"/>
        </w:rPr>
        <w:t>SeaRates supports over one million users across the globe with software for shipment tracking, freight optimization, and general logistics management. Direct questions or partnership inquiries to sales@searates.com.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