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US Customs Clearance Delays 2025: Importer Action Guide</w:t>
      </w:r>
    </w:p>
    <w:p>
      <w:pPr>
        <w:spacing w:after="240"/>
      </w:pPr>
      <w:r>
        <w:rPr>
          <w:rFonts w:ascii="Calibri" w:hAnsi="Calibri"/>
          <w:i/>
          <w:color w:val="555555"/>
          <w:sz w:val="18"/>
        </w:rPr>
        <w:t>Meta Title: US CBP Customs Clearance Delays &amp; Holds Guide 2025</w:t>
        <w:br/>
      </w:r>
      <w:r>
        <w:rPr>
          <w:rFonts w:ascii="Calibri" w:hAnsi="Calibri"/>
          <w:i/>
          <w:color w:val="555555"/>
          <w:sz w:val="18"/>
        </w:rPr>
        <w:t>Meta Description: Avoid $5,000 ISF 10+2 penalties and cargo seizures in 2025. Learn how to manage US CBP customs clearance delays, HTS classifications, and holds.</w:t>
      </w:r>
    </w:p>
    <w:p>
      <w:pPr>
        <w:spacing w:after="120" w:line="276" w:lineRule="auto"/>
      </w:pPr>
      <w:r>
        <w:rPr>
          <w:rFonts w:ascii="Calibri" w:hAnsi="Calibri"/>
          <w:color w:val="333333"/>
          <w:sz w:val="22"/>
        </w:rPr>
        <w:t>Bringing goods into the United States in 2025 requires handling stricter enforcement and rising customs tariffs. Shifting trade policies mean unexpected US CBP customs clearance delays and added costs hit importers without warning. Routine cargo often gets held when minor paperwork details fail to line up.</w:t>
      </w:r>
    </w:p>
    <w:p>
      <w:pPr>
        <w:pStyle w:val="Heading2"/>
      </w:pPr>
      <w:r>
        <w:t>Paperwork Errors That Trigger Clearance Delays</w:t>
      </w:r>
    </w:p>
    <w:p>
      <w:pPr>
        <w:spacing w:after="120" w:line="276" w:lineRule="auto"/>
      </w:pPr>
      <w:r>
        <w:rPr>
          <w:rFonts w:ascii="Calibri" w:hAnsi="Calibri"/>
          <w:color w:val="333333"/>
          <w:sz w:val="22"/>
        </w:rPr>
        <w:t>Customs and Border Protection relies on risk-based targeting systems to review shipments long before vessel arrival. Missing the filing deadline for your Importer Security Filing, also known as the ISF 10+2 requirement, is an expensive oversight. Submitting this paperwork less than 24 hours before cargo loading can trigger an automatic Importer Security Filing ISF 10+2 penalty of up to $5,000.</w:t>
      </w:r>
    </w:p>
    <w:p>
      <w:pPr>
        <w:spacing w:after="120" w:line="276" w:lineRule="auto"/>
      </w:pPr>
      <w:r>
        <w:rPr>
          <w:rFonts w:ascii="Calibri" w:hAnsi="Calibri"/>
          <w:color w:val="333333"/>
          <w:sz w:val="22"/>
        </w:rPr>
        <w:t>Discrepancies between your Bill of Lading (BOL) and commercial invoice attract immediate scrutiny. Consignee details, item descriptions, and package counts must match perfectly across all documentation. Vague descriptions such as "goods," "samples," or "merchandise" invite holds, as CBP requires precise product names and specific intended uses.</w:t>
      </w:r>
    </w:p>
    <w:p>
      <w:pPr>
        <w:spacing w:after="120" w:line="276" w:lineRule="auto"/>
      </w:pPr>
      <w:r>
        <w:rPr>
          <w:rFonts w:ascii="Calibri" w:hAnsi="Calibri"/>
          <w:color w:val="333333"/>
          <w:sz w:val="22"/>
        </w:rPr>
        <w:t>Identification errors cause similar setbacks. Your Employer Identification Number (EIN) or CBP importer number must match official records exactly. Trying to avoid duties by underreporting value under de minimis thresholds also creates problems. Declaring high-quality electronics at $100 is a common practice that prompts immediate audits.</w:t>
      </w:r>
    </w:p>
    <w:p>
      <w:pPr>
        <w:spacing w:after="120" w:line="276" w:lineRule="auto"/>
      </w:pPr>
      <w:r>
        <w:rPr>
          <w:rFonts w:ascii="Calibri" w:hAnsi="Calibri"/>
          <w:color w:val="333333"/>
          <w:sz w:val="22"/>
        </w:rPr>
        <w:t>Selecting the wrong Harmonized Tariff Schedule code, whether accidental or intentional, triggers automated reviews. An incorrect HTS classification flags your account, particularly when duty rates are altered or regulatory checks are bypassed. Importers with prior violations on their EIN or importer ID face automatic scrutiny on subsequent shipments. Because customs regulations undergo frequent modifications, importers should monitor updates on the CBP website or work directly with a licensed customs broker.</w:t>
      </w:r>
    </w:p>
    <w:p>
      <w:pPr>
        <w:pStyle w:val="Heading2"/>
      </w:pPr>
      <w:r>
        <w:t>How Long Can US Customs Hold Cargo?</w:t>
      </w:r>
    </w:p>
    <w:p>
      <w:pPr>
        <w:spacing w:after="120" w:line="276" w:lineRule="auto"/>
      </w:pPr>
      <w:r>
        <w:rPr>
          <w:rFonts w:ascii="Calibri" w:hAnsi="Calibri"/>
          <w:color w:val="333333"/>
          <w:sz w:val="22"/>
        </w:rPr>
        <w:t>When CBP detains a shipment, officers have up to 5 business days from the detention date to issue an official notice. The duration of the physical inspection depends on the issue and exam depth, generally taking anywhere from 3 days to several weeks.</w:t>
      </w:r>
    </w:p>
    <w:p>
      <w:pPr>
        <w:spacing w:after="120" w:line="276" w:lineRule="auto"/>
      </w:pPr>
      <w:r>
        <w:rPr>
          <w:rFonts w:ascii="Calibri" w:hAnsi="Calibri"/>
          <w:color w:val="333333"/>
          <w:sz w:val="22"/>
        </w:rPr>
        <w:t>Even importers with clean paperwork can face holds. CBP evaluates supplier histories, risk profiles, assessment models, random examinations, and pattern matching. A clean entry can still be detained if the overseas manufacturer carries a history of non-compliance.</w:t>
      </w:r>
    </w:p>
    <w:p>
      <w:pPr>
        <w:pStyle w:val="Heading2"/>
      </w:pPr>
      <w:r>
        <w:t>US Customs Hold vs Cargo Seizure</w:t>
      </w:r>
    </w:p>
    <w:p>
      <w:pPr>
        <w:spacing w:after="120" w:line="276" w:lineRule="auto"/>
      </w:pPr>
      <w:r>
        <w:rPr>
          <w:rFonts w:ascii="Calibri" w:hAnsi="Calibri"/>
          <w:color w:val="333333"/>
          <w:sz w:val="22"/>
        </w:rPr>
        <w:t>Understanding US Customs hold vs cargo seizure comes down to legal severity. A hold is temporary, usually ending after physical examination, though potential fines and cargo loss remain risks for both. A seizure represents a serious legal action. CBP seizes cargo when officers suspect severe infractions, including smuggling, intellectual property infringement, or major regulatory breaches, leaving a lasting negative mark on an importer's compliance record.</w:t>
      </w:r>
    </w:p>
    <w:p>
      <w:pPr>
        <w:spacing w:after="120" w:line="276" w:lineRule="auto"/>
      </w:pPr>
      <w:r>
        <w:rPr>
          <w:rFonts w:ascii="Calibri" w:hAnsi="Calibri"/>
          <w:color w:val="333333"/>
          <w:sz w:val="22"/>
        </w:rPr>
        <w:t>CBP seizes shipments for several distinct reasons. Importing items with unauthorized trademarks or fake brand names leads to immediate seizure under intellectual property laws. Marking foreign goods as "Made in USA" or altering origin details to evade tariffs constitutes another major violation that CBP actively enforces.</w:t>
      </w:r>
    </w:p>
    <w:p>
      <w:pPr>
        <w:spacing w:after="120" w:line="276" w:lineRule="auto"/>
      </w:pPr>
      <w:r>
        <w:rPr>
          <w:rFonts w:ascii="Calibri" w:hAnsi="Calibri"/>
          <w:color w:val="333333"/>
          <w:sz w:val="22"/>
        </w:rPr>
        <w:t>Regulated items like healthcare equipment, beauty items, consumer electronics, or toys for children often require documents from partner government agencies, including the FDA, FCC, or CPSIA. Lacking these documents results in seizure or forced re-export. Finally, attempting to import embargoed goods or restricted materials, such as specific chemicals or animal products without a license, leads to permanent forfeiture.</w:t>
      </w:r>
    </w:p>
    <w:p>
      <w:pPr>
        <w:pStyle w:val="Heading2"/>
      </w:pPr>
      <w:r>
        <w:t>Action Steps After Cargo Is Held or Confiscated</w:t>
      </w:r>
    </w:p>
    <w:p>
      <w:pPr>
        <w:spacing w:after="120" w:line="276" w:lineRule="auto"/>
      </w:pPr>
      <w:r>
        <w:rPr>
          <w:rFonts w:ascii="Calibri" w:hAnsi="Calibri"/>
          <w:color w:val="333333"/>
          <w:sz w:val="22"/>
        </w:rPr>
        <w:t>Receiving a notice requires immediate action rather than panic. A "Hold for examination" status means CBP or a Partner Government Agency (PGA) is inspecting or testing the shipment, which takes days to weeks.</w:t>
      </w:r>
    </w:p>
    <w:p>
      <w:pPr>
        <w:spacing w:after="120" w:line="276" w:lineRule="auto"/>
      </w:pPr>
      <w:r>
        <w:rPr>
          <w:rFonts w:ascii="Calibri" w:hAnsi="Calibri"/>
          <w:color w:val="333333"/>
          <w:sz w:val="22"/>
        </w:rPr>
        <w:t>Importers must respond quickly to detention notices issued within 5 business days or formal notices of forfeiture. Maintain detailed records of all emails, archives, and original paperwork to reconfirm valuation, classification, and product origin. If a shipment undergoes formal seizure, you can seek relief by submitting administrative petitions directly to CBP or engage legal counsel.</w:t>
      </w:r>
    </w:p>
    <w:p>
      <w:pPr>
        <w:spacing w:after="120" w:line="276" w:lineRule="auto"/>
      </w:pPr>
      <w:r>
        <w:rPr>
          <w:rFonts w:ascii="Calibri" w:hAnsi="Calibri"/>
          <w:color w:val="333333"/>
          <w:sz w:val="22"/>
        </w:rPr>
        <w:t>Identify any fines or financial penalties connected to the violation that triggered the hold. If the situation escalates into a seizure appeal, prepare complete supporting evidence for the customs hearing.</w:t>
      </w:r>
    </w:p>
    <w:p>
      <w:pPr>
        <w:pStyle w:val="Heading2"/>
      </w:pPr>
      <w:r>
        <w:t>Strategies for Law-Abiding Importers</w:t>
      </w:r>
    </w:p>
    <w:p>
      <w:pPr>
        <w:spacing w:after="120" w:line="276" w:lineRule="auto"/>
      </w:pPr>
      <w:r>
        <w:rPr>
          <w:rFonts w:ascii="Calibri" w:hAnsi="Calibri"/>
          <w:color w:val="333333"/>
          <w:sz w:val="22"/>
        </w:rPr>
        <w:t>Maintaining a clean compliance record involves systematic habits. Importers should keep consistent documentation processes and avoid last-minute changes to descriptions or HTS codes. Working with problematic suppliers should also be avoided, as past supplier violations prompt extra scrutiny even on new importers.</w:t>
      </w:r>
    </w:p>
    <w:p>
      <w:pPr>
        <w:spacing w:after="120" w:line="276" w:lineRule="auto"/>
      </w:pPr>
      <w:r>
        <w:rPr>
          <w:rFonts w:ascii="Calibri" w:hAnsi="Calibri"/>
          <w:color w:val="333333"/>
          <w:sz w:val="22"/>
        </w:rPr>
        <w:t>Building a low-risk profile happens naturally by maintaining clean submission records over time. Engaging a licensed customs broker helps manage regulations, ensures accurate documentation and timely filings for Form 7501 and ISF paperwork, and catches errors early. Using digital tracking tools allows shippers to monitor exceptions, plan for potential delays, and adjust logistics schedules ahead of time.</w:t>
      </w:r>
    </w:p>
    <w:p>
      <w:pPr>
        <w:pStyle w:val="Heading2"/>
      </w:pPr>
      <w:r>
        <w:t>Tracking Exceptions with Container Tracking by SeaRates</w:t>
      </w:r>
    </w:p>
    <w:p>
      <w:pPr>
        <w:spacing w:after="120" w:line="276" w:lineRule="auto"/>
      </w:pPr>
      <w:r>
        <w:rPr>
          <w:rFonts w:ascii="Calibri" w:hAnsi="Calibri"/>
          <w:color w:val="333333"/>
          <w:sz w:val="22"/>
        </w:rPr>
        <w:t>Managing shipment updates requires reliable tools. Container Tracking by SeaRates allows shippers to monitor up to 25 shipment exceptions while keeping track of containers, BL numbers, and booking references.</w:t>
      </w:r>
    </w:p>
    <w:p>
      <w:pPr>
        <w:spacing w:after="120" w:line="276" w:lineRule="auto"/>
      </w:pPr>
      <w:r>
        <w:rPr>
          <w:rFonts w:ascii="Calibri" w:hAnsi="Calibri"/>
          <w:color w:val="333333"/>
          <w:sz w:val="22"/>
        </w:rPr>
        <w:t>The platform pulls live data streamed from over 200 ocean carriers and equipment leasing providers into one dashboard. Importers gain access to route details, transit times, and Predictive ETA data to anticipate potential delays. To configure tracking alerts or consult with logistics specialists, contact sales@searates.com.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1111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22222"/>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