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003366"/>
          <w:sz w:val="44"/>
        </w:rPr>
        <w:t>US Mexico Air Freight Restrictions: Supply Chain Impact</w:t>
      </w:r>
    </w:p>
    <w:p>
      <w:pPr>
        <w:spacing w:after="360"/>
      </w:pPr>
      <w:r>
        <w:rPr>
          <w:rFonts w:ascii="Calibri" w:hAnsi="Calibri"/>
          <w:b/>
          <w:i/>
          <w:color w:val="646464"/>
          <w:sz w:val="18"/>
        </w:rPr>
        <w:t xml:space="preserve">Meta Title: </w:t>
      </w:r>
      <w:r>
        <w:rPr>
          <w:rFonts w:ascii="Calibri" w:hAnsi="Calibri"/>
          <w:i/>
          <w:color w:val="646464"/>
          <w:sz w:val="18"/>
        </w:rPr>
        <w:t>US Mexico Air Freight Restrictions &amp; Regulations</w:t>
        <w:br/>
      </w:r>
      <w:r>
        <w:rPr>
          <w:rFonts w:ascii="Calibri" w:hAnsi="Calibri"/>
          <w:b/>
          <w:i/>
          <w:color w:val="646464"/>
          <w:sz w:val="18"/>
        </w:rPr>
        <w:t xml:space="preserve">Meta Description: </w:t>
      </w:r>
      <w:r>
        <w:rPr>
          <w:rFonts w:ascii="Calibri" w:hAnsi="Calibri"/>
          <w:i/>
          <w:color w:val="646464"/>
          <w:sz w:val="18"/>
        </w:rPr>
        <w:t>New DOT aviation regulations Mexico limit air cargo. Learn operational strategies, slot cuts, AIFA airport cargo transshipment, and tracking solutions.</w:t>
      </w:r>
    </w:p>
    <w:p>
      <w:pPr>
        <w:spacing w:before="0" w:after="160" w:line="276" w:lineRule="auto"/>
      </w:pPr>
      <w:r>
        <w:rPr>
          <w:rFonts w:ascii="Calibri" w:hAnsi="Calibri"/>
          <w:sz w:val="22"/>
        </w:rPr>
        <w:t>Effective July 18, 2025, America's Department of Transportation imposed strict limits on air shipments originating from Mexico. This decision requires all flights to obtain prior approval through US authorities, placing charter flights under direct review and threatening to revoke antitrust immunity for the Delta-Aeroméxico alliance by October 2025. Supply chain participants must adjust immediately as capacity constraints pressure cross-border logistics.</w:t>
      </w:r>
    </w:p>
    <w:p>
      <w:pPr>
        <w:spacing w:before="280" w:after="120"/>
      </w:pPr>
      <w:r>
        <w:rPr>
          <w:rFonts w:ascii="Calibri" w:hAnsi="Calibri"/>
          <w:b/>
          <w:color w:val="003366"/>
          <w:sz w:val="30"/>
        </w:rPr>
        <w:t>Escalating Operational Pressures</w:t>
      </w:r>
    </w:p>
    <w:p>
      <w:pPr>
        <w:spacing w:before="0" w:after="160" w:line="276" w:lineRule="auto"/>
      </w:pPr>
      <w:r>
        <w:rPr>
          <w:rFonts w:ascii="Calibri" w:hAnsi="Calibri"/>
          <w:sz w:val="22"/>
        </w:rPr>
        <w:t>The regulatory shift creates immediate strain for shippers, freight forwarders, customs brokers, and air carriers. Potential freight rate increases and cargo space shortages across passenger belly capacity are compounding as peak season approaches. Squeezed transshipment hubs at border points directly risk delivery schedules, creating operational exposure for a just in time supply chain North America relies upon for electronics, e-commerce, and pharmaceuticals.</w:t>
      </w:r>
    </w:p>
    <w:p>
      <w:pPr>
        <w:spacing w:before="280" w:after="120"/>
      </w:pPr>
      <w:r>
        <w:rPr>
          <w:rFonts w:ascii="Calibri" w:hAnsi="Calibri"/>
          <w:b/>
          <w:color w:val="003366"/>
          <w:sz w:val="30"/>
        </w:rPr>
        <w:t>Airport Infrastructure and Slot Allocation Conflicts</w:t>
      </w:r>
    </w:p>
    <w:p>
      <w:pPr>
        <w:spacing w:before="0" w:after="160" w:line="276" w:lineRule="auto"/>
      </w:pPr>
      <w:r>
        <w:rPr>
          <w:rFonts w:ascii="Calibri" w:hAnsi="Calibri"/>
          <w:sz w:val="22"/>
        </w:rPr>
        <w:t>Operational friction began when Mexican authorities unilaterally reduced slot capacity at Benito Juárez International Airport (MEX) from 61 takeoffs and landings per hour down to 43 per hour across 2023 and 2024. Citing infrastructure overload, Mexican regulators curtailed flight frequencies, drawing formal objections from the DOT regarding lost opportunities for American carriers and alleged violations of the 2015 Open Skies pact.</w:t>
      </w:r>
    </w:p>
    <w:p>
      <w:pPr>
        <w:spacing w:before="0" w:after="160" w:line="276" w:lineRule="auto"/>
      </w:pPr>
      <w:r>
        <w:rPr>
          <w:rFonts w:ascii="Calibri" w:hAnsi="Calibri"/>
          <w:sz w:val="22"/>
        </w:rPr>
        <w:t>Slot allocation transparency remains a core dispute. United Airlines and Delta Air Lines reported systematic rejections of requested slots at MEX, whereas capacity was allocated to domestic carriers, including state-owned Mexicana following its 2023 relaunch. Compounding these hurdles, Mexican authorities mandated a compulsory relocation of all dedicated freighter operations in 2023 from MEX to Felipe Ángeles International Airport (AIFA), situated 45 to 50 kilometers northeast of downtown Mexico City, without prior consultation with cargo operators.</w:t>
      </w:r>
    </w:p>
    <w:p>
      <w:pPr>
        <w:spacing w:before="0" w:after="160" w:line="276" w:lineRule="auto"/>
      </w:pPr>
      <w:r>
        <w:rPr>
          <w:rFonts w:ascii="Calibri" w:hAnsi="Calibri"/>
          <w:sz w:val="22"/>
        </w:rPr>
        <w:t>Integrators including FedEx, UPS, and DHL faced incomplete infrastructure and restricted access for time-sensitive night shipments at AIFA. According to the Cargo Airline Association, operating out of AIFA forces FedEx and UPS to incur millions of dollars in additional annual operational expenses, and transit times have grown by 12% to 18%.</w:t>
      </w:r>
    </w:p>
    <w:p>
      <w:pPr>
        <w:spacing w:before="280" w:after="120"/>
      </w:pPr>
      <w:r>
        <w:rPr>
          <w:rFonts w:ascii="Calibri" w:hAnsi="Calibri"/>
          <w:b/>
          <w:color w:val="003366"/>
          <w:sz w:val="30"/>
        </w:rPr>
        <w:t>Government Positions and Bilateral Negotiations</w:t>
      </w:r>
    </w:p>
    <w:p>
      <w:pPr>
        <w:spacing w:before="0" w:after="160" w:line="276" w:lineRule="auto"/>
      </w:pPr>
      <w:r>
        <w:rPr>
          <w:rFonts w:ascii="Calibri" w:hAnsi="Calibri"/>
          <w:sz w:val="22"/>
        </w:rPr>
        <w:t>Mexican President Claudia Sheinbaum defended the AIFA transshipment requirement as an essential infrastructure measure to relieve severe MEX overcrowding. Mexican officials assert national sovereignty over technical slot management, noting that AFAC manages slot allocations institutionally through official policy rather than through manual intervention. The Mexican government maintains that Mexicana serves domestic regional destinations without competing directly with US passenger carriers, pointing to reciprocal difficulties Mexican airlines experience at US hubs like Houston and New York.</w:t>
      </w:r>
    </w:p>
    <w:p>
      <w:pPr>
        <w:spacing w:before="0" w:after="160" w:line="276" w:lineRule="auto"/>
      </w:pPr>
      <w:r>
        <w:rPr>
          <w:rFonts w:ascii="Calibri" w:hAnsi="Calibri"/>
          <w:sz w:val="22"/>
        </w:rPr>
        <w:t>Diplomatic channels remain active. The Ministry of Foreign Affairs alongside SICT has organized a negotiating team for technical discussions. Addressing reporters on 22 July 2025, President Sheinbaum indicated that a bilateral agreement could be reached in coming days if negotiations remain strictly technical.</w:t>
      </w:r>
    </w:p>
    <w:p>
      <w:pPr>
        <w:spacing w:before="280" w:after="120"/>
      </w:pPr>
      <w:r>
        <w:rPr>
          <w:rFonts w:ascii="Calibri" w:hAnsi="Calibri"/>
          <w:b/>
          <w:color w:val="003366"/>
          <w:sz w:val="30"/>
        </w:rPr>
        <w:t>Mitigation Protocols for Shippers and Cargo Owners</w:t>
      </w:r>
    </w:p>
    <w:p>
      <w:pPr>
        <w:spacing w:before="0" w:after="160" w:line="276" w:lineRule="auto"/>
      </w:pPr>
      <w:r>
        <w:rPr>
          <w:rFonts w:ascii="Calibri" w:hAnsi="Calibri"/>
          <w:sz w:val="22"/>
        </w:rPr>
        <w:t>Shippers facing US Mexico air freight restrictions must evaluate contracts and operational setups:</w:t>
      </w:r>
    </w:p>
    <w:p>
      <w:pPr>
        <w:pStyle w:val="ListBullet"/>
        <w:spacing w:before="0" w:after="80"/>
      </w:pPr>
      <w:r>
        <w:rPr>
          <w:rFonts w:ascii="Calibri" w:hAnsi="Calibri"/>
          <w:sz w:val="22"/>
        </w:rPr>
        <w:t>SLA and Delay Terms:</w:t>
      </w:r>
      <w:r>
        <w:rPr>
          <w:rFonts w:ascii="Calibri" w:hAnsi="Calibri"/>
          <w:b/>
          <w:sz w:val="22"/>
        </w:rPr>
        <w:t xml:space="preserve"> Re-examine penalty clauses and delivery buffers in service level agreements.</w:t>
      </w:r>
    </w:p>
    <w:p>
      <w:pPr>
        <w:pStyle w:val="ListBullet"/>
        <w:spacing w:before="0" w:after="80"/>
      </w:pPr>
      <w:r>
        <w:rPr>
          <w:rFonts w:ascii="Calibri" w:hAnsi="Calibri"/>
          <w:sz w:val="22"/>
        </w:rPr>
        <w:t>Inventory Adjustment:</w:t>
      </w:r>
      <w:r>
        <w:rPr>
          <w:rFonts w:ascii="Calibri" w:hAnsi="Calibri"/>
          <w:b/>
          <w:sz w:val="22"/>
        </w:rPr>
        <w:t xml:space="preserve"> Increase stock reserves at regional facilities in the US and northern Mexico, particularly for pharmaceuticals and component electronics.</w:t>
      </w:r>
    </w:p>
    <w:p>
      <w:pPr>
        <w:pStyle w:val="ListBullet"/>
        <w:spacing w:before="0" w:after="80"/>
      </w:pPr>
      <w:r>
        <w:rPr>
          <w:rFonts w:ascii="Calibri" w:hAnsi="Calibri"/>
          <w:sz w:val="22"/>
        </w:rPr>
        <w:t>Route Redundancy:</w:t>
      </w:r>
      <w:r>
        <w:rPr>
          <w:rFonts w:ascii="Calibri" w:hAnsi="Calibri"/>
          <w:b/>
          <w:sz w:val="22"/>
        </w:rPr>
        <w:t xml:space="preserve"> Build multi-modal transport routes combining air movement with road transport through Texas and Arizona border gateways.</w:t>
      </w:r>
    </w:p>
    <w:p>
      <w:pPr>
        <w:pStyle w:val="ListBullet"/>
        <w:spacing w:before="0" w:after="80"/>
      </w:pPr>
      <w:r>
        <w:rPr>
          <w:rFonts w:ascii="Calibri" w:hAnsi="Calibri"/>
          <w:sz w:val="22"/>
        </w:rPr>
        <w:t>Latin American Rerouting:</w:t>
      </w:r>
      <w:r>
        <w:rPr>
          <w:rFonts w:ascii="Calibri" w:hAnsi="Calibri"/>
          <w:b/>
          <w:sz w:val="22"/>
        </w:rPr>
        <w:t xml:space="preserve"> Redirect cargo destined for Guatemala, Costa Rica, or Panama through transshipment nodes in Miami or Houston.</w:t>
      </w:r>
    </w:p>
    <w:p>
      <w:pPr>
        <w:spacing w:before="280" w:after="120"/>
      </w:pPr>
      <w:r>
        <w:rPr>
          <w:rFonts w:ascii="Calibri" w:hAnsi="Calibri"/>
          <w:b/>
          <w:color w:val="003366"/>
          <w:sz w:val="30"/>
        </w:rPr>
        <w:t>Operational Steps for Forwarders, 3PLs, and Airlines</w:t>
      </w:r>
    </w:p>
    <w:p>
      <w:pPr>
        <w:spacing w:before="0" w:after="160" w:line="276" w:lineRule="auto"/>
      </w:pPr>
      <w:r>
        <w:rPr>
          <w:rFonts w:ascii="Calibri" w:hAnsi="Calibri"/>
          <w:sz w:val="22"/>
        </w:rPr>
        <w:t>Logistics providers must modify routing and carrier strategy to protect capacity:</w:t>
      </w:r>
    </w:p>
    <w:p>
      <w:pPr>
        <w:pStyle w:val="ListBullet"/>
        <w:spacing w:before="0" w:after="80"/>
      </w:pPr>
      <w:r>
        <w:rPr>
          <w:rFonts w:ascii="Calibri" w:hAnsi="Calibri"/>
          <w:sz w:val="22"/>
        </w:rPr>
        <w:t>Alternative Mexican Gateways:</w:t>
      </w:r>
      <w:r>
        <w:rPr>
          <w:rFonts w:ascii="Calibri" w:hAnsi="Calibri"/>
          <w:b/>
          <w:sz w:val="22"/>
        </w:rPr>
        <w:t xml:space="preserve"> Reroute AIFA airport cargo transshipment volume to regional airports with established freight infrastructure, including Guadalajara (GDL), Tijuana (TIJ), and Cancun (CUN).</w:t>
      </w:r>
    </w:p>
    <w:p>
      <w:pPr>
        <w:pStyle w:val="ListBullet"/>
        <w:spacing w:before="0" w:after="80"/>
      </w:pPr>
      <w:r>
        <w:rPr>
          <w:rFonts w:ascii="Calibri" w:hAnsi="Calibri"/>
          <w:sz w:val="22"/>
        </w:rPr>
        <w:t>Capacity Communication:</w:t>
      </w:r>
      <w:r>
        <w:rPr>
          <w:rFonts w:ascii="Calibri" w:hAnsi="Calibri"/>
          <w:b/>
          <w:sz w:val="22"/>
        </w:rPr>
        <w:t xml:space="preserve"> Inform clients early regarding rate adjustments and space allocations.</w:t>
      </w:r>
    </w:p>
    <w:p>
      <w:pPr>
        <w:pStyle w:val="ListBullet"/>
        <w:spacing w:before="0" w:after="80"/>
      </w:pPr>
      <w:r>
        <w:rPr>
          <w:rFonts w:ascii="Calibri" w:hAnsi="Calibri"/>
          <w:sz w:val="22"/>
        </w:rPr>
        <w:t>Charter Deployment:</w:t>
      </w:r>
      <w:r>
        <w:rPr>
          <w:rFonts w:ascii="Calibri" w:hAnsi="Calibri"/>
          <w:b/>
          <w:sz w:val="22"/>
        </w:rPr>
        <w:t xml:space="preserve"> Engage Part 135 regional charter operators to cover shortfalls.</w:t>
      </w:r>
    </w:p>
    <w:p>
      <w:pPr>
        <w:pStyle w:val="ListBullet"/>
        <w:spacing w:before="0" w:after="80"/>
      </w:pPr>
      <w:r>
        <w:rPr>
          <w:rFonts w:ascii="Calibri" w:hAnsi="Calibri"/>
          <w:sz w:val="22"/>
        </w:rPr>
        <w:t>Airline Network Shifts:</w:t>
      </w:r>
      <w:r>
        <w:rPr>
          <w:rFonts w:ascii="Calibri" w:hAnsi="Calibri"/>
          <w:b/>
          <w:sz w:val="22"/>
        </w:rPr>
        <w:t xml:space="preserve"> Restructure flight schedules to account for the potential loss of joint alliance planning, while leveraging cross-border ground entry points at CBX (San Diego/Tijuana), Laredo, and Nogales.</w:t>
      </w:r>
    </w:p>
    <w:p>
      <w:pPr>
        <w:pStyle w:val="ListBullet"/>
        <w:spacing w:before="0" w:after="80"/>
      </w:pPr>
      <w:r>
        <w:rPr>
          <w:rFonts w:ascii="Calibri" w:hAnsi="Calibri"/>
          <w:sz w:val="22"/>
        </w:rPr>
        <w:t>Tonnage Sharing:</w:t>
      </w:r>
      <w:r>
        <w:rPr>
          <w:rFonts w:ascii="Calibri" w:hAnsi="Calibri"/>
          <w:b/>
          <w:sz w:val="22"/>
        </w:rPr>
        <w:t xml:space="preserve"> Establish block charters and interline sharing agreements with integrators such as DHL and UPS.</w:t>
      </w:r>
    </w:p>
    <w:p>
      <w:pPr>
        <w:spacing w:before="280" w:after="120"/>
      </w:pPr>
      <w:r>
        <w:rPr>
          <w:rFonts w:ascii="Calibri" w:hAnsi="Calibri"/>
          <w:b/>
          <w:color w:val="003366"/>
          <w:sz w:val="30"/>
        </w:rPr>
        <w:t>Hybrid Strategies for 4PLs and Supply Chain Integrators</w:t>
      </w:r>
    </w:p>
    <w:p>
      <w:pPr>
        <w:spacing w:before="0" w:after="160" w:line="276" w:lineRule="auto"/>
      </w:pPr>
      <w:r>
        <w:rPr>
          <w:rFonts w:ascii="Calibri" w:hAnsi="Calibri"/>
          <w:sz w:val="22"/>
        </w:rPr>
        <w:t>4PL operators should prepare for partial route suspensions, charter delays, and consolidation bottlenecks. Implementing a hybrid logistics model allows operators to maintain schedules by flying cargo into secondary hubs and moving freight across northern Mexico via LTL and FTL trucking networks.</w:t>
      </w:r>
    </w:p>
    <w:p>
      <w:pPr>
        <w:spacing w:before="280" w:after="120"/>
      </w:pPr>
      <w:r>
        <w:rPr>
          <w:rFonts w:ascii="Calibri" w:hAnsi="Calibri"/>
          <w:b/>
          <w:color w:val="003366"/>
          <w:sz w:val="30"/>
        </w:rPr>
        <w:t>Real-Time Shipment Visibility</w:t>
      </w:r>
    </w:p>
    <w:p>
      <w:pPr>
        <w:spacing w:before="0" w:after="160" w:line="276" w:lineRule="auto"/>
      </w:pPr>
      <w:r>
        <w:rPr>
          <w:rFonts w:ascii="Calibri" w:hAnsi="Calibri"/>
          <w:sz w:val="22"/>
        </w:rPr>
        <w:t>Maintaining operational control amid DOT aviation regulations Mexico enforces requires reliable tracking technology. Air Tracking by AirRates &amp; SeaRates provides instant tracking by Air Waybill number, aggregating real-time status updates across more than 500 airlines. The platform features predictive ETA capabilities and delay forecasting, accessible via direct web portal integration or an air tracking API logistics visibility connection for proactive logistics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