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US Tariff Updates for Canada, Mexico, and China</w:t>
      </w:r>
    </w:p>
    <w:p>
      <w:r>
        <w:rPr>
          <w:i/>
          <w:color w:val="646464"/>
          <w:sz w:val="18"/>
        </w:rPr>
        <w:t>Meta-Title: US Tariff Changes: Impact on Canada, Mexico, China</w:t>
        <w:br/>
      </w:r>
      <w:r>
        <w:rPr>
          <w:i/>
          <w:color w:val="646464"/>
          <w:sz w:val="18"/>
        </w:rPr>
        <w:t>Meta-Description: U.S. Customs began collecting new duties on Canadian goods on March 4, 2025. Here is how global logistics and supply chains are adapting.</w:t>
      </w:r>
    </w:p>
    <w:p/>
    <w:p>
      <w:pPr>
        <w:spacing w:line="276" w:lineRule="auto" w:after="120"/>
      </w:pPr>
      <w:r>
        <w:t>Trade rules shifted overnight when U.S. Customs began collecting higher duties on March 4, 2025.</w:t>
      </w:r>
    </w:p>
    <w:p>
      <w:pPr>
        <w:spacing w:line="276" w:lineRule="auto" w:after="120"/>
      </w:pPr>
      <w:r>
        <w:t>Although the formal announcement was scheduled for March 6, U.S. Customs and Border Protection implemented the new rates early. Imports from Canada face a 25% general tariff, while Canadian energy exports such as petroleum, gas, uranium, coal, biofuels, and key minerals incur a 10% duty. Personal items and specific exemptions remain untouched. Goods under $800 retain their De Minimis duty exemption for now, though that exception ends once customs sets up an appropriate control system.</w:t>
      </w:r>
    </w:p>
    <w:p>
      <w:pPr>
        <w:spacing w:line="276" w:lineRule="auto" w:after="120"/>
      </w:pPr>
      <w:r>
        <w:t>Rules governing Foreign Trade Zones are also changing. Goods originating from Mexico and China stored in U.S. zones are now categorized as privileged foreign status items. They face mandatory tariff taxation even after local processing. The government has also canceled duty drawback, preventing companies from receiving refunds on tariffs paid.</w:t>
      </w:r>
    </w:p>
    <w:p>
      <w:pPr>
        <w:spacing w:line="276" w:lineRule="auto" w:after="120"/>
      </w:pPr>
      <w:r>
        <w:t>Canada responded by imposing 25% tariffs, alongside the 10% rate on energy, to protect trade in steel, aluminum, automotive manufacturing, and spare parts. Ottawa also prepared CAD 155 billion in counter-tariffs on American goods, targeting automotive vehicles, metals like steel and aluminum, agricultural exports such as orange juice, wine, coffee, and peanut butter. Canadian officials are considering export restrictions on critical materials, focusing on lithium, cobalt, and rare earths required by U.S. technology and electric vehicle producers.</w:t>
      </w:r>
    </w:p>
    <w:p>
      <w:pPr>
        <w:spacing w:line="276" w:lineRule="auto" w:after="120"/>
      </w:pPr>
      <w:r>
        <w:t>Operational friction is rising across North America. Auto manufacturers are reviewing supply channels to prevent spare parts shortages. Exporters of beef, dairy products, and processed ag goods face higher costs. Border crossings report delays, placing extra demand on rail and road transport networks.</w:t>
      </w:r>
    </w:p>
    <w:p>
      <w:pPr>
        <w:pStyle w:val="Heading2"/>
      </w:pPr>
      <w:r>
        <w:t>Early Enforcement and Escalation with China</w:t>
      </w:r>
    </w:p>
    <w:p>
      <w:pPr>
        <w:spacing w:line="276" w:lineRule="auto" w:after="120"/>
      </w:pPr>
      <w:r>
        <w:t>Tariffs on Chinese imports doubled to 20%, hitting Asian shipping routes. Industry projections detail substantial export losses for Chinese producers selling to the U.S. Telecommunications equipment exports face a drop of $1.63 billion. Computer and component shipments are projected to decrease by $1.11 billion. Automotive shipments and vehicle components drop by $439 million. Home furnishings and household items fall over $600 million, while rechargeable battery exports shrink by $107 million.</w:t>
      </w:r>
    </w:p>
    <w:p>
      <w:pPr>
        <w:spacing w:line="276" w:lineRule="auto" w:after="120"/>
      </w:pPr>
      <w:r>
        <w:t>Chinese ports face growing congestion as exporters hurry to move shipments ahead of potential rate increases. Demand for air freight has climbed, while buyers explore alternative production options across Vietnam, India, Mexico, and neighboring markets.</w:t>
      </w:r>
    </w:p>
    <w:p>
      <w:pPr>
        <w:spacing w:line="276" w:lineRule="auto" w:after="120"/>
      </w:pPr>
      <w:r>
        <w:t>Beijing responded through sequential trade penalties. Between February 10 and February 17, 2025, China introduced 10% to 15% duties on U.S. agricultural products, added a 15% tariff on American liquefied natural gas as well as coal, while restricting rare earth metals. On March 4, Chinese authorities temporarily suspended soybean import licenses for CHS Inc, Louis Dreyfus Company, and EGT. They also halted U.S. timber imports entirely, citing phytosanitary risks.</w:t>
      </w:r>
    </w:p>
    <w:p>
      <w:pPr>
        <w:spacing w:line="276" w:lineRule="auto" w:after="120"/>
      </w:pPr>
      <w:r>
        <w:t>Starting March 10, 2025, an additional round of Chinese tariffs takes effect. That step introduces 15% duties on U.S. chicken, wheat, corn, and cotton, alongside 10% duties across American shipments of pork, beef, soybeans, sorghum, seafood, produce, and dairy lines.</w:t>
      </w:r>
    </w:p>
    <w:p>
      <w:pPr>
        <w:pStyle w:val="Heading2"/>
      </w:pPr>
      <w:r>
        <w:t>Mexican Exemption and Global Tariff Shifts</w:t>
      </w:r>
    </w:p>
    <w:p>
      <w:pPr>
        <w:spacing w:line="276" w:lineRule="auto" w:after="120"/>
      </w:pPr>
      <w:r>
        <w:t>Trade friction with Mexico presents similar challenges. Initial 25% tariffs put Mexican automotive, electronics, spare parts, and agricultural sectors at risk. On March 6, regulators granted a 30-day tariff relief window for automotive manufacturers across Mexico and Canada. On March 5, Mexican President Claudia Sheinbaum declared counter-tariffs scheduled for implementation between March 9 and March 16.</w:t>
      </w:r>
    </w:p>
    <w:p>
      <w:pPr>
        <w:spacing w:line="276" w:lineRule="auto" w:after="120"/>
      </w:pPr>
      <w:r>
        <w:t>Mexico is seeking crude oil buyers across Canada, Europe, Asia, and other international destinations. Regulators in Mexico are also increasing control over U.S. companies operating in the country. Consequences include higher air freight demand for perishable items, route changes that raise rail and freight costs, lower U.S. import volumes, higher retail prices for American residents, and retaliatory tariffs on American agricultural items and steel.</w:t>
      </w:r>
    </w:p>
    <w:p>
      <w:pPr>
        <w:spacing w:line="276" w:lineRule="auto" w:after="120"/>
      </w:pPr>
      <w:r>
        <w:t>Global tariff schedules continue to expand. On March 12, 2025, duties on imported steel and aluminum increase to 25% worldwide. Reciprocal U.S. tariffs on European Union goods take effect April 2, 2025, concentrating on automobiles and industrial items.</w:t>
      </w:r>
    </w:p>
    <w:p>
      <w:pPr>
        <w:pStyle w:val="Heading2"/>
      </w:pPr>
      <w:r>
        <w:t>Adapting Operations and Logistics</w:t>
      </w:r>
    </w:p>
    <w:p>
      <w:pPr>
        <w:spacing w:line="276" w:lineRule="auto" w:after="120"/>
      </w:pPr>
      <w:r>
        <w:t>Logistics managers must monitor tariff classification codes regularly and prepare for the elimination of duty drawback refunds. Businesses handling auto components, energy products, and food shipments must plan for higher costs and supply interruptions. Diversifying suppliers into Vietnam, India, Brazil, and other trade partners helps reduce risk.</w:t>
      </w:r>
    </w:p>
    <w:p>
      <w:pPr>
        <w:spacing w:line="276" w:lineRule="auto" w:after="120"/>
      </w:pPr>
      <w:r>
        <w:t>To manage border delays, customs complications, port congestion, and rising freight rates, companies should negotiate freight contracts in advance. Using bonded warehouses allows importers to delay tariff payments and expedite customs clearance, while air freight provides an alternative for valuable shipments.</w:t>
      </w:r>
    </w:p>
    <w:p>
      <w:pPr>
        <w:spacing w:line="276" w:lineRule="auto" w:after="120"/>
      </w:pPr>
      <w:r>
        <w:t>The SeaRates Logistics Explorer helps businesses adjust to modified trade conditions. The platform delivers live freight rates and routings across ocean, air, road, and rail movement. Shippers can evaluate carrier choices, lock in rates through immediate online booking with guaranteed space, and maintain clear expenditure visibility by contacting sales@searates.com.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