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b/>
          <w:sz w:val="40"/>
        </w:rPr>
        <w:t>Visualizing Freight Data for Operational Efficiency</w:t>
      </w:r>
    </w:p>
    <w:p>
      <w:pPr>
        <w:spacing w:after="80"/>
      </w:pPr>
      <w:r>
        <w:rPr>
          <w:b/>
          <w:i/>
          <w:sz w:val="18"/>
        </w:rPr>
        <w:t xml:space="preserve">Meta Title: </w:t>
      </w:r>
      <w:r>
        <w:rPr>
          <w:i/>
          <w:sz w:val="18"/>
        </w:rPr>
        <w:t>Freight Data Visualization: A Practical Logistics Guide</w:t>
      </w:r>
    </w:p>
    <w:p>
      <w:pPr>
        <w:spacing w:after="360"/>
      </w:pPr>
      <w:r>
        <w:rPr>
          <w:b/>
          <w:i/>
          <w:sz w:val="18"/>
        </w:rPr>
        <w:t xml:space="preserve">Meta Description: </w:t>
      </w:r>
      <w:r>
        <w:rPr>
          <w:i/>
          <w:sz w:val="18"/>
        </w:rPr>
        <w:t>Turn complex shipping data into practical visual insights. Track live cargo, optimize routes, audit carriers, and eliminate delivery delays.</w:t>
      </w:r>
    </w:p>
    <w:p>
      <w:pPr>
        <w:spacing w:after="160" w:line="276" w:lineRule="auto"/>
      </w:pPr>
      <w:r>
        <w:rPr>
          <w:rFonts w:ascii="Calibri" w:hAnsi="Calibri"/>
          <w:sz w:val="22"/>
        </w:rPr>
        <w:t>Managing freight involves constant coordination across route planning, inventory tracking, and delivery monitoring. When companies process vast volumes of logistics data, raw numbers quickly become difficult to evaluate. Visual tools convert these heavy datasets into clear graphic formats. This gives managers direct control over network operations and operating costs.</w:t>
      </w:r>
    </w:p>
    <w:p>
      <w:pPr>
        <w:spacing w:before="280" w:after="120"/>
      </w:pPr>
      <w:r>
        <w:rPr>
          <w:rFonts w:ascii="Arial" w:hAnsi="Arial"/>
          <w:b/>
          <w:sz w:val="28"/>
        </w:rPr>
        <w:t>Tracking Cargo with Live Telemetry</w:t>
      </w:r>
    </w:p>
    <w:p>
      <w:pPr>
        <w:spacing w:after="160" w:line="276" w:lineRule="auto"/>
      </w:pPr>
      <w:r>
        <w:rPr>
          <w:rFonts w:ascii="Calibri" w:hAnsi="Calibri"/>
          <w:sz w:val="22"/>
        </w:rPr>
        <w:t>Fragmented location updates create blind spots across transit networks. Modern logistics telemetry dashboards solve this by combining signals from GPS trackers, IoT sensors, and core enterprise systems into a single view. Operators monitor exact positions, status changes, and updated arrival estimates as movement occurs.</w:t>
      </w:r>
    </w:p>
    <w:p>
      <w:pPr>
        <w:spacing w:after="160" w:line="276" w:lineRule="auto"/>
      </w:pPr>
      <w:r>
        <w:rPr>
          <w:rFonts w:ascii="Calibri" w:hAnsi="Calibri"/>
          <w:sz w:val="22"/>
        </w:rPr>
        <w:t>Immediate visibility helps dispatchers handle delays or unexpected disruptions right away. Customers receive accurate progress reports, while operations teams reduce instances of lost or misplaced shipments. For professionals building these internal tracking platforms, taking specialized online Power BI courses provides the technical background needed to design custom tracking dashboards.</w:t>
      </w:r>
    </w:p>
    <w:p>
      <w:pPr>
        <w:spacing w:before="280" w:after="120"/>
      </w:pPr>
      <w:r>
        <w:rPr>
          <w:rFonts w:ascii="Arial" w:hAnsi="Arial"/>
          <w:b/>
          <w:sz w:val="28"/>
        </w:rPr>
        <w:t>Space Optimization and Inventory Control</w:t>
      </w:r>
    </w:p>
    <w:p>
      <w:pPr>
        <w:spacing w:after="160" w:line="276" w:lineRule="auto"/>
      </w:pPr>
      <w:r>
        <w:rPr>
          <w:rFonts w:ascii="Calibri" w:hAnsi="Calibri"/>
          <w:sz w:val="22"/>
        </w:rPr>
        <w:t>Unused shipping space inflates operational expense. By examining load distribution alongside capacity data, cargo capacity heatmaps and 3D packing models expose hidden physical wastage in cargo space. Visualizing structural packing arrangements allows teams to consolidate loads, complete shipments in fewer trips, reduce fuel burn, and lower carbon emissions.</w:t>
      </w:r>
    </w:p>
    <w:p>
      <w:pPr>
        <w:spacing w:after="160" w:line="276" w:lineRule="auto"/>
      </w:pPr>
      <w:r>
        <w:rPr>
          <w:rFonts w:ascii="Calibri" w:hAnsi="Calibri"/>
          <w:sz w:val="22"/>
        </w:rPr>
        <w:t>Inventory management requires a similar visual clarity. Visualizing stock volumes, reorder thresholds, and regional purchasing trends across multiple warehouses helps planners align supply schedules with real demand cycles. Real-time freight analytics prevent overstocking and costly inventory shortages. This creates predictable freight schedules that match client ordering habits.</w:t>
      </w:r>
    </w:p>
    <w:p>
      <w:pPr>
        <w:spacing w:before="280" w:after="120"/>
      </w:pPr>
      <w:r>
        <w:rPr>
          <w:rFonts w:ascii="Arial" w:hAnsi="Arial"/>
          <w:b/>
          <w:sz w:val="28"/>
        </w:rPr>
        <w:t>Delay Mitigation, Routes, and Carrier Performance</w:t>
      </w:r>
    </w:p>
    <w:p>
      <w:pPr>
        <w:spacing w:after="160" w:line="276" w:lineRule="auto"/>
      </w:pPr>
      <w:r>
        <w:rPr>
          <w:rFonts w:ascii="Calibri" w:hAnsi="Calibri"/>
          <w:sz w:val="22"/>
        </w:rPr>
        <w:t>Delivery bottlenecks harm customer relationships and increase financial losses. Tracking key performance indicators like average transit times, on-time arrival percentages, and recurring delay causes reveals exact operational friction points. Once managers spot where and why bottlenecks happen, they can deploy targeted fixes to keep transit running smoothly.</w:t>
      </w:r>
    </w:p>
    <w:p>
      <w:pPr>
        <w:spacing w:after="160" w:line="276" w:lineRule="auto"/>
      </w:pPr>
      <w:r>
        <w:rPr>
          <w:rFonts w:ascii="Calibri" w:hAnsi="Calibri"/>
          <w:sz w:val="22"/>
        </w:rPr>
        <w:t>Route planning benefits directly from this visual approach:</w:t>
      </w:r>
    </w:p>
    <w:p>
      <w:pPr>
        <w:pStyle w:val="ListBullet"/>
        <w:spacing w:after="80"/>
      </w:pPr>
      <w:r>
        <w:rPr>
          <w:rFonts w:ascii="Calibri" w:hAnsi="Calibri"/>
          <w:sz w:val="22"/>
        </w:rPr>
        <w:t>Planners map multiple transit options against real-time weather conditions, traffic density, and delivery windows.</w:t>
      </w:r>
    </w:p>
    <w:p>
      <w:pPr>
        <w:pStyle w:val="ListBullet"/>
        <w:spacing w:after="80"/>
      </w:pPr>
      <w:r>
        <w:rPr>
          <w:rFonts w:ascii="Calibri" w:hAnsi="Calibri"/>
          <w:sz w:val="22"/>
        </w:rPr>
        <w:t>Selecting less congested or more direct corridors lowers fuel consumption and speeds up drop-offs.</w:t>
      </w:r>
    </w:p>
    <w:p>
      <w:pPr>
        <w:pStyle w:val="ListBullet"/>
        <w:spacing w:after="80"/>
      </w:pPr>
      <w:r>
        <w:rPr>
          <w:rFonts w:ascii="Calibri" w:hAnsi="Calibri"/>
          <w:sz w:val="22"/>
        </w:rPr>
        <w:t>Forecast tools give logistics teams advance visibility to adapt before changing transit conditions impact delivery schedules.</w:t>
      </w:r>
    </w:p>
    <w:p>
      <w:pPr>
        <w:spacing w:after="160" w:line="276" w:lineRule="auto"/>
      </w:pPr>
      <w:r>
        <w:rPr>
          <w:rFonts w:ascii="Calibri" w:hAnsi="Calibri"/>
          <w:sz w:val="22"/>
        </w:rPr>
        <w:t>Evaluating third-party logistics partners requires objective measurement. Visualizing carrier performance metrics across service quality, schedule reliability, and total cost helps teams negotiate stronger contracts and reward top vendors. Conversely, clear performance data makes it simple to identify and replace underperforming carriers.</w:t>
      </w:r>
    </w:p>
    <w:p>
      <w:pPr>
        <w:spacing w:before="280" w:after="120"/>
      </w:pPr>
      <w:r>
        <w:rPr>
          <w:rFonts w:ascii="Arial" w:hAnsi="Arial"/>
          <w:b/>
          <w:sz w:val="28"/>
        </w:rPr>
        <w:t>Risk Management and Customer Transparency</w:t>
      </w:r>
    </w:p>
    <w:p>
      <w:pPr>
        <w:spacing w:after="160" w:line="276" w:lineRule="auto"/>
      </w:pPr>
      <w:r>
        <w:rPr>
          <w:rFonts w:ascii="Calibri" w:hAnsi="Calibri"/>
          <w:sz w:val="22"/>
        </w:rPr>
        <w:t>Compliance management presents complex regional requirements and safety regulations. Centralizing regulatory requirements, regional compliance standings, and safety incident logs inside a visual compliance dashboard highlights emerging risks before regulatory penalties or fines occur.</w:t>
      </w:r>
    </w:p>
    <w:p>
      <w:pPr>
        <w:spacing w:after="160" w:line="276" w:lineRule="auto"/>
      </w:pPr>
      <w:r>
        <w:rPr>
          <w:rFonts w:ascii="Calibri" w:hAnsi="Calibri"/>
          <w:sz w:val="22"/>
        </w:rPr>
        <w:t>Transparency extends directly to buyers as well. Offering customizable tracking portals gives clients direct access to delivery schedules and transit updates. Clear visual status updates build long-term trust and establish strong customer relationships across competitive markets.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