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40"/>
        </w:rPr>
        <w:t>Why Freight Rates Shift: Markets, Tech, and Global Routes</w:t>
      </w:r>
    </w:p>
    <w:p>
      <w:r>
        <w:rPr>
          <w:i/>
          <w:color w:val="646464"/>
          <w:sz w:val="18"/>
        </w:rPr>
        <w:t>Meta Title: Understanding Shipping Rate Fluctuation Drivers</w:t>
        <w:br/>
      </w:r>
      <w:r>
        <w:rPr>
          <w:i/>
          <w:color w:val="646464"/>
          <w:sz w:val="18"/>
        </w:rPr>
        <w:t>Meta Description: Explore why global freight prices fluctuate, from Indian turmeric export surges and Ukraine route diversions to digital marketplaces.</w:t>
      </w:r>
    </w:p>
    <w:p/>
    <w:p>
      <w:r>
        <w:rPr>
          <w:sz w:val="22"/>
        </w:rPr>
        <w:t>Cross-border commercial sellers face operational challenges when transport pricing changes in either direction. While large trading companies like Traze might be less affected, shifting freight costs create unpredictability for many online traders.</w:t>
      </w:r>
    </w:p>
    <w:p>
      <w:r>
        <w:rPr>
          <w:sz w:val="22"/>
        </w:rPr>
        <w:t>Supply and demand shifts change freight rates constantly. Certain commodities, including gold, maintain steady demand over time. Agricultural goods experience sharp buying surges. When a sudden buying surge occurs for turmeric, orders concentrate heavily on producers in India, the primary region for growing and processing the crop. Indian transport providers face physical limits on how much volume they can move over a specific timeframe. They respond by raising service pricing, using capacity management to restrict accepted shipments to volumes their transport networks can realistically handle.</w:t>
      </w:r>
    </w:p>
    <w:p>
      <w:r>
        <w:rPr>
          <w:sz w:val="22"/>
        </w:rPr>
        <w:t>Geography and geopolitical disruption alter physical transit routes. Long-standing trading paths operate predictably until localized conflict intervenes.</w:t>
      </w:r>
    </w:p>
    <w:p>
      <w:r>
        <w:rPr>
          <w:sz w:val="22"/>
        </w:rPr>
        <w:t>The war in Ukraine illustrates this effect on Eurasian overland movement. Because Ukraine occupies a central geographic location on the continent, disruption along established transit paths forced carriers into route diversions. Drivers took longer alternative paths or passed through higher-risk zones, accumulating higher fuel costs and adding extended transit time to every load.</w:t>
      </w:r>
    </w:p>
    <w:p>
      <w:r>
        <w:rPr>
          <w:sz w:val="22"/>
        </w:rPr>
        <w:t>Technology also alters baseline transport costs and accelerates market repricing. Modern shippers and buyers expect real-time location tracking for individual loads. Adding location tracking software into a shipment increases vehicle fuel consumption, equipment maintenance requirements, and insurance premiums.</w:t>
      </w:r>
    </w:p>
    <w:p>
      <w:r>
        <w:rPr>
          <w:sz w:val="22"/>
        </w:rPr>
        <w:t>Market speed has changed too. Freight companies once posted agents at dockside locations and truck stops to advertise prices for specific loads. Digital freight marketplaces replaced those physical representatives. Automated transactions allow prices to change rapidly, introducing steep spot rate volatility. Carriers list higher spot rates to insulate themselves from financial losses during rapid digital bidding competitions for available freight.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