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rPr>
          <w:rFonts w:ascii="Calibri" w:hAnsi="Calibri"/>
          <w:b/>
          <w:color w:val="111827"/>
          <w:sz w:val="40"/>
        </w:rPr>
        <w:t>Writing a Maritime Shipping Research Paper: Key Focus</w:t>
      </w:r>
    </w:p>
    <w:p>
      <w:r>
        <w:rPr>
          <w:rFonts w:ascii="Calibri" w:hAnsi="Calibri"/>
          <w:i/>
          <w:color w:val="4B5563"/>
          <w:sz w:val="18"/>
        </w:rPr>
        <w:t>Meta Title: Maritime Shipping Research Paper Guide: Data &amp; Structure</w:t>
        <w:br/>
        <w:t>Meta Description: Learn how to build a clear maritime shipping research paper. Key data sources, IMO emissions rules, supply chain chokepoints, and tech angles explained.</w:t>
      </w:r>
    </w:p>
    <w:p/>
    <w:p>
      <w:pPr>
        <w:pStyle w:val="Heading2"/>
      </w:pPr>
      <w:r>
        <w:rPr>
          <w:rFonts w:ascii="Calibri" w:hAnsi="Calibri"/>
          <w:b/>
          <w:color w:val="1E293B"/>
          <w:sz w:val="28"/>
        </w:rPr>
        <w:t>Structure and Core Requirements</w:t>
      </w:r>
    </w:p>
    <w:p>
      <w:r>
        <w:rPr>
          <w:rFonts w:ascii="Calibri" w:hAnsi="Calibri"/>
          <w:color w:val="334155"/>
          <w:sz w:val="22"/>
        </w:rPr>
        <w:t>Student papers covering ocean transportation frequently stall because the subject spans too many disciplines at once. Keeping an investigation grounded requires selecting a specific operational, legal, or environmental thesis. The International Maritime Organization reports that nine-tenths of worldwide goods travel across ocean routes, linking maritime activities to international trade agreements and national environmental policies.</w:t>
      </w:r>
    </w:p>
    <w:p>
      <w:r>
        <w:rPr>
          <w:rFonts w:ascii="Calibri" w:hAnsi="Calibri"/>
          <w:color w:val="334155"/>
          <w:sz w:val="22"/>
        </w:rPr>
        <w:t>Constructing a persuasive argument depends on integrating historical context with current empirical evidence and published forecasts. High-quality work avoids broad generalizations in favor of verifiable numbers.</w:t>
      </w:r>
    </w:p>
    <w:p>
      <w:r>
        <w:rPr>
          <w:rFonts w:ascii="Calibri" w:hAnsi="Calibri"/>
          <w:color w:val="334155"/>
          <w:sz w:val="22"/>
        </w:rPr>
        <w:t>Primary sources for maritime datasets include:</w:t>
      </w:r>
    </w:p>
    <w:p>
      <w:pPr>
        <w:pStyle w:val="ListBullet"/>
      </w:pPr>
      <w:r>
        <w:rPr>
          <w:rFonts w:ascii="Calibri" w:hAnsi="Calibri"/>
          <w:color w:val="334155"/>
          <w:sz w:val="22"/>
        </w:rPr>
        <w:t>UNCTAD annual shipping reviews for cargo volumes and market trends</w:t>
      </w:r>
    </w:p>
    <w:p>
      <w:pPr>
        <w:pStyle w:val="ListBullet"/>
      </w:pPr>
      <w:r>
        <w:rPr>
          <w:rFonts w:ascii="Calibri" w:hAnsi="Calibri"/>
          <w:color w:val="334155"/>
          <w:sz w:val="22"/>
        </w:rPr>
        <w:t>Clarkson Research for commercial fleet statistics</w:t>
      </w:r>
    </w:p>
    <w:p>
      <w:pPr>
        <w:pStyle w:val="ListBullet"/>
      </w:pPr>
      <w:r>
        <w:rPr>
          <w:rFonts w:ascii="Calibri" w:hAnsi="Calibri"/>
          <w:color w:val="334155"/>
          <w:sz w:val="22"/>
        </w:rPr>
        <w:t>Maritime Risk Suite and Lloyd's List for security developments</w:t>
      </w:r>
    </w:p>
    <w:p>
      <w:pPr>
        <w:pStyle w:val="ListBullet"/>
      </w:pPr>
      <w:r>
        <w:rPr>
          <w:rFonts w:ascii="Calibri" w:hAnsi="Calibri"/>
          <w:color w:val="334155"/>
          <w:sz w:val="22"/>
        </w:rPr>
        <w:t>BIMCO reports for chartering contracts and industry guidelines</w:t>
      </w:r>
    </w:p>
    <w:p>
      <w:pPr>
        <w:pStyle w:val="ListBullet"/>
      </w:pPr>
      <w:r>
        <w:rPr>
          <w:rFonts w:ascii="Calibri" w:hAnsi="Calibri"/>
          <w:color w:val="334155"/>
          <w:sz w:val="22"/>
        </w:rPr>
        <w:t>Regional port authority records for throughput figures</w:t>
      </w:r>
    </w:p>
    <w:p>
      <w:r>
        <w:rPr>
          <w:rFonts w:ascii="Calibri" w:hAnsi="Calibri"/>
          <w:color w:val="334155"/>
          <w:sz w:val="22"/>
        </w:rPr>
        <w:t>Applying route-calculation software, vessel distance algorithms, and logistics modeling tools that account for seasonal weather, canal delays, and port congestion shows practical familiarity with industry workflows.</w:t>
      </w:r>
    </w:p>
    <w:p>
      <w:pPr>
        <w:pStyle w:val="Heading2"/>
      </w:pPr>
      <w:r>
        <w:rPr>
          <w:rFonts w:ascii="Calibri" w:hAnsi="Calibri"/>
          <w:b/>
          <w:color w:val="1E293B"/>
          <w:sz w:val="28"/>
        </w:rPr>
        <w:t>Defining Your Focus Area</w:t>
      </w:r>
    </w:p>
    <w:p>
      <w:r>
        <w:rPr>
          <w:rFonts w:ascii="Calibri" w:hAnsi="Calibri"/>
          <w:color w:val="334155"/>
          <w:sz w:val="22"/>
        </w:rPr>
        <w:t>Broad surveys weaken analytical depth. The most compelling papers concentrate on active operational pressures across transport networks.</w:t>
      </w:r>
    </w:p>
    <w:p>
      <w:r>
        <w:rPr>
          <w:rFonts w:ascii="Calibri" w:hAnsi="Calibri"/>
          <w:color w:val="334155"/>
          <w:sz w:val="22"/>
        </w:rPr>
        <w:t>Effective research angles:</w:t>
      </w:r>
    </w:p>
    <w:p>
      <w:pPr>
        <w:pStyle w:val="ListBullet"/>
      </w:pPr>
      <w:r>
        <w:rPr>
          <w:rFonts w:ascii="Calibri" w:hAnsi="Calibri"/>
          <w:color w:val="334155"/>
          <w:sz w:val="22"/>
        </w:rPr>
        <w:t>Crewing changes resulting from autonomous vessel technology</w:t>
      </w:r>
    </w:p>
    <w:p>
      <w:pPr>
        <w:pStyle w:val="ListBullet"/>
      </w:pPr>
      <w:r>
        <w:rPr>
          <w:rFonts w:ascii="Calibri" w:hAnsi="Calibri"/>
          <w:color w:val="334155"/>
          <w:sz w:val="22"/>
        </w:rPr>
        <w:t>Logistical lessons drawn from the 2021 Suez Canal obstruction</w:t>
      </w:r>
    </w:p>
    <w:p>
      <w:pPr>
        <w:pStyle w:val="ListBullet"/>
      </w:pPr>
      <w:r>
        <w:rPr>
          <w:rFonts w:ascii="Calibri" w:hAnsi="Calibri"/>
          <w:color w:val="334155"/>
          <w:sz w:val="22"/>
        </w:rPr>
        <w:t>Cybersecurity exposure in automated terminal operations</w:t>
      </w:r>
    </w:p>
    <w:p>
      <w:pPr>
        <w:pStyle w:val="ListBullet"/>
      </w:pPr>
      <w:r>
        <w:rPr>
          <w:rFonts w:ascii="Calibri" w:hAnsi="Calibri"/>
          <w:color w:val="334155"/>
          <w:sz w:val="22"/>
        </w:rPr>
        <w:t>How shifting climate risks affect hull and cargo insurance rates</w:t>
      </w:r>
    </w:p>
    <w:p>
      <w:r>
        <w:rPr>
          <w:rFonts w:ascii="Calibri" w:hAnsi="Calibri"/>
          <w:color w:val="334155"/>
          <w:sz w:val="22"/>
        </w:rPr>
        <w:t>Geopolitical realpolitik heavily dictates shipping routes. Physical and political chokepoints create natural supply chain bottlenecks. The Strait of Malacca handles 25 percent of global sea oil transit, while the Strait of Hormuz, the Panama Canal, and the Suez Canal present similar operational risks. The six-day blockage of the Suez Canal by the Ever Given disrupted roughly $9.6 billion in daily trade, illustrating how quickly regional delays cascade globally.</w:t>
      </w:r>
    </w:p>
    <w:p>
      <w:r>
        <w:rPr>
          <w:rFonts w:ascii="Calibri" w:hAnsi="Calibri"/>
          <w:color w:val="334155"/>
          <w:sz w:val="22"/>
        </w:rPr>
        <w:t>Researchers should examine state-funded port projects like China's Belt and Road Initiative, alongside the impact of regional conflicts on marine insurance premiums. Additional research areas include flag of convenience (FOC) registry practices, port state control inspections, container equipment imbalances, and supply chain bullwhip effects.</w:t>
      </w:r>
    </w:p>
    <w:p>
      <w:pPr>
        <w:pStyle w:val="Heading2"/>
      </w:pPr>
      <w:r>
        <w:rPr>
          <w:rFonts w:ascii="Calibri" w:hAnsi="Calibri"/>
          <w:b/>
          <w:color w:val="1E293B"/>
          <w:sz w:val="28"/>
        </w:rPr>
        <w:t>Environmental Regulations and Marine Policy</w:t>
      </w:r>
    </w:p>
    <w:p>
      <w:r>
        <w:rPr>
          <w:rFonts w:ascii="Calibri" w:hAnsi="Calibri"/>
          <w:color w:val="334155"/>
          <w:sz w:val="22"/>
        </w:rPr>
        <w:t>Decarbonization dominates contemporary maritime discussion. Commercial shipping generates approximately 940 million tonnes of CO2 annually, representing 2.5 percent of global greenhouse gas output. Without regulatory intervention, shipboard pollution risks expanding up to 250 percent by mid-century.</w:t>
      </w:r>
    </w:p>
    <w:p>
      <w:r>
        <w:rPr>
          <w:rFonts w:ascii="Calibri" w:hAnsi="Calibri"/>
          <w:color w:val="334155"/>
          <w:sz w:val="22"/>
        </w:rPr>
        <w:t>Papers examining environmental compliance should evaluate the IMO 2020 sulfur cap and its enforcement mechanisms. Comparative reviews of green shipping initiatives involve examining alternative fuels like LNG, green methanol, hydrogen, and ammonia.</w:t>
      </w:r>
    </w:p>
    <w:p>
      <w:r>
        <w:rPr>
          <w:rFonts w:ascii="Calibri" w:hAnsi="Calibri"/>
          <w:color w:val="334155"/>
          <w:sz w:val="22"/>
        </w:rPr>
        <w:t>Technical measures for lowering vessel emissions include:</w:t>
      </w:r>
    </w:p>
    <w:p>
      <w:pPr>
        <w:pStyle w:val="ListBullet"/>
      </w:pPr>
      <w:r>
        <w:rPr>
          <w:rFonts w:ascii="Calibri" w:hAnsi="Calibri"/>
          <w:color w:val="334155"/>
          <w:sz w:val="22"/>
        </w:rPr>
        <w:t>Hull optimization and wind-assisted propulsion devices</w:t>
      </w:r>
    </w:p>
    <w:p>
      <w:pPr>
        <w:pStyle w:val="ListBullet"/>
      </w:pPr>
      <w:r>
        <w:rPr>
          <w:rFonts w:ascii="Calibri" w:hAnsi="Calibri"/>
          <w:color w:val="334155"/>
          <w:sz w:val="22"/>
        </w:rPr>
        <w:t>Ballast water management protocols to control invasive species</w:t>
      </w:r>
    </w:p>
    <w:p>
      <w:pPr>
        <w:pStyle w:val="ListBullet"/>
      </w:pPr>
      <w:r>
        <w:rPr>
          <w:rFonts w:ascii="Calibri" w:hAnsi="Calibri"/>
          <w:color w:val="334155"/>
          <w:sz w:val="22"/>
        </w:rPr>
        <w:t>Mitigating underwater radiated noise to protect marine ecosystems</w:t>
      </w:r>
    </w:p>
    <w:p>
      <w:pPr>
        <w:pStyle w:val="ListBullet"/>
      </w:pPr>
      <w:r>
        <w:rPr>
          <w:rFonts w:ascii="Calibri" w:hAnsi="Calibri"/>
          <w:color w:val="334155"/>
          <w:sz w:val="22"/>
        </w:rPr>
        <w:t>Non-toxic anti-fouling hull coatings</w:t>
      </w:r>
    </w:p>
    <w:p>
      <w:pPr>
        <w:pStyle w:val="Heading2"/>
      </w:pPr>
      <w:r>
        <w:rPr>
          <w:rFonts w:ascii="Calibri" w:hAnsi="Calibri"/>
          <w:b/>
          <w:color w:val="1E293B"/>
          <w:sz w:val="28"/>
        </w:rPr>
        <w:t>Digitalization and Vessel Operations</w:t>
      </w:r>
    </w:p>
    <w:p>
      <w:r>
        <w:rPr>
          <w:rFonts w:ascii="Calibri" w:hAnsi="Calibri"/>
          <w:color w:val="334155"/>
          <w:sz w:val="22"/>
        </w:rPr>
        <w:t>Smart systems are gradually replacing paper documentation across international trade channels.</w:t>
      </w:r>
    </w:p>
    <w:p>
      <w:r>
        <w:rPr>
          <w:rFonts w:ascii="Calibri" w:hAnsi="Calibri"/>
          <w:color w:val="334155"/>
          <w:sz w:val="22"/>
        </w:rPr>
        <w:t>Key technological subjects for academic review:</w:t>
      </w:r>
    </w:p>
    <w:p>
      <w:pPr>
        <w:pStyle w:val="ListBullet"/>
      </w:pPr>
      <w:r>
        <w:rPr>
          <w:rFonts w:ascii="Calibri" w:hAnsi="Calibri"/>
          <w:color w:val="334155"/>
          <w:sz w:val="22"/>
        </w:rPr>
        <w:t>Digital twin models for vessel maintenance and fleet management</w:t>
      </w:r>
    </w:p>
    <w:p>
      <w:pPr>
        <w:pStyle w:val="ListBullet"/>
      </w:pPr>
      <w:r>
        <w:rPr>
          <w:rFonts w:ascii="Calibri" w:hAnsi="Calibri"/>
          <w:color w:val="334155"/>
          <w:sz w:val="22"/>
        </w:rPr>
        <w:t>Real-time IoT sensor networks for cargo monitoring</w:t>
      </w:r>
    </w:p>
    <w:p>
      <w:pPr>
        <w:pStyle w:val="ListBullet"/>
      </w:pPr>
      <w:r>
        <w:rPr>
          <w:rFonts w:ascii="Calibri" w:hAnsi="Calibri"/>
          <w:color w:val="334155"/>
          <w:sz w:val="22"/>
        </w:rPr>
        <w:t>Automated container handling machinery in major ports</w:t>
      </w:r>
    </w:p>
    <w:p>
      <w:pPr>
        <w:pStyle w:val="ListBullet"/>
      </w:pPr>
      <w:r>
        <w:rPr>
          <w:rFonts w:ascii="Calibri" w:hAnsi="Calibri"/>
          <w:color w:val="334155"/>
          <w:sz w:val="22"/>
        </w:rPr>
        <w:t>AI-based weather routing and voyage optimization</w:t>
      </w:r>
    </w:p>
    <w:p>
      <w:pPr>
        <w:pStyle w:val="ListBullet"/>
      </w:pPr>
      <w:r>
        <w:rPr>
          <w:rFonts w:ascii="Calibri" w:hAnsi="Calibri"/>
          <w:color w:val="334155"/>
          <w:sz w:val="22"/>
        </w:rPr>
        <w:t>Blockchain platforms for electronic bills of lading and trade finance</w:t>
      </w:r>
    </w:p>
    <w:p>
      <w:pPr>
        <w:pStyle w:val="Heading2"/>
      </w:pPr>
      <w:r>
        <w:rPr>
          <w:rFonts w:ascii="Calibri" w:hAnsi="Calibri"/>
          <w:b/>
          <w:color w:val="1E293B"/>
          <w:sz w:val="28"/>
        </w:rPr>
        <w:t>Terminology and Presentation</w:t>
      </w:r>
    </w:p>
    <w:p>
      <w:r>
        <w:rPr>
          <w:rFonts w:ascii="Calibri" w:hAnsi="Calibri"/>
          <w:color w:val="334155"/>
          <w:sz w:val="22"/>
        </w:rPr>
        <w:t>Maritime terminology must be clearly defined when first introduced, including terms like TEU, demurrage, Cabotage, and FOC.</w:t>
      </w:r>
    </w:p>
    <w:p>
      <w:r>
        <w:rPr>
          <w:rFonts w:ascii="Calibri" w:hAnsi="Calibri"/>
          <w:color w:val="334155"/>
          <w:sz w:val="22"/>
        </w:rPr>
        <w:t>Supporting text with route maps, trade flow diagrams, and statistical tables strengthens quantitative arguments. Effective papers balance economic considerations against labor shifts and environmental compliance costs. Connecting shipboard operational details to broader macroeconomic outcomes produces a thorough, well-supported study.</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