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Digital Adoption in Logistics and Shipping Operations</w:t>
      </w:r>
    </w:p>
    <w:p>
      <w:r>
        <w:rPr>
          <w:i/>
          <w:sz w:val="18"/>
        </w:rPr>
        <w:t>Meta Title: Digital Adoption in Logistics and Shipping Operations</w:t>
        <w:br/>
        <w:t>Meta Description: Explore how digital adoption logistics improves supply chain visibility, handles IoT cargo tracking, and automates freight documentation for shipping.</w:t>
      </w:r>
    </w:p>
    <w:p>
      <w:r>
        <w:t>Conventional processes across freight, shipping, and supply chain management are giving way to digital software tools. Rapid expansion in e-commerce, shifting customer demands, and strict expectations for operational reliability compel shipping companies to modernize their workflows. Replacing manual tracking and paper files helps transport carriers maintain operational efficiency across fragmented international transport networks. Integrating modern software into core business routines alters daily operational habits, helping companies establish clear tracking across every leg of transit.</w:t>
      </w:r>
    </w:p>
    <w:p>
      <w:pPr>
        <w:pStyle w:val="Heading2"/>
      </w:pPr>
      <w:r>
        <w:t>Real-Time Cargo Tracking and Automated Paperwork</w:t>
      </w:r>
    </w:p>
    <w:p>
      <w:r>
        <w:t>Connecting physical shipments with tracking systems grants dispatchers direct oversight of moving inventory. Digital tracking networks deliver accurate location updates, allowing cargo managers to project arrival delays, adjust transit decisions, and report exact progress to clients. Global positioning systems working alongside IoT cargo tracking hardware create full supply chain visibility throughout global routes.</w:t>
      </w:r>
    </w:p>
    <w:p>
      <w:r>
        <w:t>Customs clearance and cargo handoffs require extensive documentation, including bills of lading, international entry forms, and freight invoices. Automated freight documentation generates these records electronically, cutting human processing errors while maintaining strict compliance with international shipping rules. Moving administrative work to automated software frees staff members to handle higher-priority transport operations while accelerating overall vessel and truck dispatching schedules. Modern shippers also rely on digital communication channels to offer flexible delivery choices, live status notifications, and prompt responses to customer inquiries.</w:t>
      </w:r>
    </w:p>
    <w:p>
      <w:pPr>
        <w:pStyle w:val="Heading2"/>
      </w:pPr>
      <w:r>
        <w:t>Environmental Demands and Operational Risk</w:t>
      </w:r>
    </w:p>
    <w:p>
      <w:r>
        <w:t>Modernizing transport networks brings specific operational obstacles alongside technical progress. Fleet managers must balance technological implementation with environmental responsibilities. Incorporating green logistics CO2 calculation methods adds operational steps, yet measuring emissions helps freight providers offer verifiable low-carbon choices to environmentally conscious cargo owners.</w:t>
      </w:r>
    </w:p>
    <w:p>
      <w:r>
        <w:t>Information protection presents another major operational hurdle. Transport companies store high volumes of proprietary client data, delivery addresses, and banking credentials across networked systems. A single cybersecurity breach risks serious financial losses and severe reputational damage, making encrypted data channels essential for software adoption. Internal workforce adoption presents additional friction. Employees accustomed to legacy manual procedures often resist new software interfaces, which can slow rollouts and reduce initial system performance unless managed through dedicated workplace training.</w:t>
      </w:r>
    </w:p>
    <w:p>
      <w:pPr>
        <w:pStyle w:val="Heading2"/>
      </w:pPr>
      <w:r>
        <w:t>Core Technologies Reshaping Daily Freight Workflow</w:t>
      </w:r>
    </w:p>
    <w:p>
      <w:r>
        <w:t>Specific technology categories form the functional foundation for modern freight management. Connected internet-of-things sensors collect live climate and location metrics from inside cargo containers, monitoring ambient temperature for refrigerated food shipments while securing valuable freight against unauthorized access. Recorded sensor streams provide cargo handlers with actionable data to resolve environmental deviations before goods spoil.</w:t>
      </w:r>
    </w:p>
    <w:p>
      <w:r>
        <w:t>Distributed ledger technology provides shared transaction records across multi-party supply chains. Recording chain-of-custody milestones on a secure blockchain ledger grants all involved stakeholders visibility, reducing contract disputes and preventing fraudulent documentation during complex international ocean transport. Cloud infrastructure allows dispatchers and dock crews to access central operational databases from remote locations, facilitating team collaboration without requiring expensive on-site server hardware. Specialized warehouse automation systems, including robotics and automated material sorters, handle packing and inventory control inside high-volume distribution centers, reducing manual handling mistakes and accelerating order fulfillment.</w:t>
      </w:r>
    </w:p>
    <w:p>
      <w:pPr>
        <w:pStyle w:val="Heading2"/>
      </w:pPr>
      <w:r>
        <w:t>Tactical Steps for Operational Deployment</w:t>
      </w:r>
    </w:p>
    <w:p>
      <w:r>
        <w:t>Implementing new software successfully requires structured planning and ongoing review. Transport firms start by auditing existing operational bottlenecks to identify where software upgrades deliver measurable improvements instead of spending capital on unnecessary digital tools. Building a clear strategy aligns technology selections with concrete targets, such as shortening freight delivery windows or improving client communication response times. Establishing measurable performance benchmarks enables management to calculate financial return on investment over time.</w:t>
      </w:r>
    </w:p>
    <w:p>
      <w:r>
        <w:t>Securing system architecture remains a critical priority throughout deployment. Applying strong encryption and strict user permission controls prevents unauthorized access to internal databases. Encouraging open innovation within work teams helps staff adapt to unfamiliar interfaces, enabling logistics teams to solve daily operational problems using modern software tools.</w:t>
      </w:r>
    </w:p>
    <w:p>
      <w:pPr>
        <w:pStyle w:val="Heading2"/>
      </w:pPr>
      <w:r>
        <w:t>Emerging Tools Shaping Freight Management</w:t>
      </w:r>
    </w:p>
    <w:p>
      <w:r>
        <w:t>Technological progress continues to transform freight and shipping management across global trade lanes. Autonomous cargo vehicles, advanced warehouse robotics, and predictive analytics tools allow transport operators to forecast potential bottlenecks before shipments experience actual transit delays. Following key industry shifts, including 2024 supply chain trends, helps logistics providers refine operational strategies and adapt to market shifts. Companies that implement software solutions systematically position themselves to control operating expenses, protect data, and maintain reliable service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