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111827"/>
          <w:sz w:val="44"/>
        </w:rPr>
        <w:t>Avoid 25% Import Tariffs: USMCA &amp; Route Optimization</w:t>
      </w:r>
    </w:p>
    <w:p>
      <w:r>
        <w:rPr>
          <w:rFonts w:ascii="Calibri" w:hAnsi="Calibri"/>
          <w:i/>
          <w:color w:val="4B5563"/>
          <w:sz w:val="18"/>
        </w:rPr>
        <w:t>Meta Title: Avoid 25% Tariffs: USMCA &amp; Route Optimization Guide</w:t>
      </w:r>
    </w:p>
    <w:p>
      <w:r>
        <w:rPr>
          <w:rFonts w:ascii="Calibri" w:hAnsi="Calibri"/>
          <w:i/>
          <w:color w:val="4B5563"/>
          <w:sz w:val="18"/>
        </w:rPr>
        <w:t>Meta Description: Protect your supply chain from 25% duties on Mexico and Canada imports using USMCA certificate of origin tariff exemption and smart route optimization.</w:t>
      </w:r>
    </w:p>
    <w:p/>
    <w:p>
      <w:pPr>
        <w:pStyle w:val="Heading2"/>
      </w:pPr>
      <w:r>
        <w:rPr>
          <w:rFonts w:ascii="Calibri" w:hAnsi="Calibri"/>
          <w:b/>
          <w:color w:val="1F2937"/>
          <w:sz w:val="32"/>
        </w:rPr>
        <w:t>Navigating the 25% Import Tax Realities</w:t>
      </w:r>
    </w:p>
    <w:p>
      <w:r>
        <w:rPr>
          <w:rFonts w:ascii="Calibri" w:hAnsi="Calibri"/>
          <w:color w:val="374151"/>
          <w:sz w:val="22"/>
        </w:rPr>
        <w:t>When new 25% tariffs hit imports moving across borders from Mexico and Canada, manufacturers and logistics planners face immediate cost pressure. Customs rules shift rapidly, pulling profit margins down unless companies take proactive measures to adapt. Bringing costs back under control requires a combination of regulatory compliance and smart transportation planning. Through USMCA certification and refined vessel paths, businesses protect their bottom line throughout 2025 as they maintain efficient freight movement.</w:t>
      </w:r>
    </w:p>
    <w:p>
      <w:pPr>
        <w:pStyle w:val="Heading2"/>
      </w:pPr>
      <w:r>
        <w:rPr>
          <w:rFonts w:ascii="Calibri" w:hAnsi="Calibri"/>
          <w:b/>
          <w:color w:val="1F2937"/>
          <w:sz w:val="32"/>
        </w:rPr>
        <w:t>Rerouting Vessels and Managing Shipping Expenses</w:t>
      </w:r>
    </w:p>
    <w:p>
      <w:r>
        <w:rPr>
          <w:rFonts w:ascii="Calibri" w:hAnsi="Calibri"/>
          <w:color w:val="374151"/>
          <w:sz w:val="22"/>
        </w:rPr>
        <w:t>Substantial duty increases compel cargo owners and ocean carriers to reevaluate established shipping corridors. Ocean vessels frequently take longer paths or shift calls to alternative ports to dodge heavy tariff zones. Moving cargo through unfamiliar customs checkpoints brings unexpected handling fees. Without precise distance calculations and transit time estimates beforehand, changing ports triggers compounding insurance premiums and unexpected administrative charges at every turn. Crafting a robust supply chain rerouting import duty strategy helps operators evaluate total cost variations before committing cargo to a new destination.</w:t>
      </w:r>
    </w:p>
    <w:p>
      <w:pPr>
        <w:pStyle w:val="Heading2"/>
      </w:pPr>
      <w:r>
        <w:rPr>
          <w:rFonts w:ascii="Calibri" w:hAnsi="Calibri"/>
          <w:b/>
          <w:color w:val="1F2937"/>
          <w:sz w:val="32"/>
        </w:rPr>
        <w:t>Financial Mitigation Strategies for Spiking Duties</w:t>
      </w:r>
    </w:p>
    <w:p>
      <w:r>
        <w:rPr>
          <w:rFonts w:ascii="Calibri" w:hAnsi="Calibri"/>
          <w:color w:val="374151"/>
          <w:sz w:val="22"/>
        </w:rPr>
        <w:t>Absorbing sudden tax increases on Canadian and Mexican goods disrupts cash reserves across every tier of manufacturing. Items previously brought in under preferential terms suddenly require price adjustments or get logged as direct operating losses. Deploying AI predictive analytics inside logistics management systems allows companies to pinpoint vulnerable product segments and forecast exact cash flow impacts before shipment arrival.</w:t>
      </w:r>
    </w:p>
    <w:p>
      <w:r>
        <w:rPr>
          <w:rFonts w:ascii="Calibri" w:hAnsi="Calibri"/>
          <w:color w:val="374151"/>
          <w:sz w:val="22"/>
        </w:rPr>
        <w:t>To cushion financial losses, logistics teams apply several practical methods. Evaluating lower-cost transport alternatives helps lower baseline freight expenditures. Companies also look for non-dutied equivalent materials or alternative suppliers where available. Reconfiguring assembly lines makes it possible to integrate components with variable duty rates continuously.</w:t>
      </w:r>
    </w:p>
    <w:p>
      <w:pPr>
        <w:pStyle w:val="Heading2"/>
      </w:pPr>
      <w:r>
        <w:rPr>
          <w:rFonts w:ascii="Calibri" w:hAnsi="Calibri"/>
          <w:b/>
          <w:color w:val="1F2937"/>
          <w:sz w:val="32"/>
        </w:rPr>
        <w:t>Qualifying for Duty Reductions Under USMCA</w:t>
      </w:r>
    </w:p>
    <w:p>
      <w:r>
        <w:rPr>
          <w:rFonts w:ascii="Calibri" w:hAnsi="Calibri"/>
          <w:color w:val="374151"/>
          <w:sz w:val="22"/>
        </w:rPr>
        <w:t>The United States - Mexico - Canada Agreement offers relief by eliminating trade barriers for goods that satisfy specific origin criteria. Securing a USMCA certificate of origin tariff exemption allows compliant shipments to clear customs without paying the 25% duty. Completing the certification process involves three distinct stages:</w:t>
      </w:r>
    </w:p>
    <w:p>
      <w:pPr>
        <w:pStyle w:val="ListNumber"/>
      </w:pPr>
      <w:r>
        <w:rPr>
          <w:rFonts w:ascii="Calibri" w:hAnsi="Calibri"/>
          <w:color w:val="374151"/>
          <w:sz w:val="22"/>
        </w:rPr>
        <w:t>Eligibility verification: Verify that the product is manufactured or processed within one or more member nations, specifically the United States, Mexico, or Canada.</w:t>
      </w:r>
    </w:p>
    <w:p>
      <w:pPr>
        <w:pStyle w:val="ListNumber"/>
      </w:pPr>
      <w:r>
        <w:rPr>
          <w:rFonts w:ascii="Calibri" w:hAnsi="Calibri"/>
          <w:color w:val="374151"/>
          <w:sz w:val="22"/>
        </w:rPr>
        <w:t>Preparation of documents: Gather all necessary filing paperwork, including a formal declaration of origin confirming production standards.</w:t>
      </w:r>
    </w:p>
    <w:p>
      <w:pPr>
        <w:pStyle w:val="ListNumber"/>
      </w:pPr>
      <w:r>
        <w:rPr>
          <w:rFonts w:ascii="Calibri" w:hAnsi="Calibri"/>
          <w:color w:val="374151"/>
          <w:sz w:val="22"/>
        </w:rPr>
        <w:t>Application and certification: Submit the prepared documentation directly to the relevant customs authorities. Once verified, officials issue the certificate, which creates no further obligations.</w:t>
      </w:r>
    </w:p>
    <w:p>
      <w:pPr>
        <w:pStyle w:val="Heading2"/>
      </w:pPr>
      <w:r>
        <w:rPr>
          <w:rFonts w:ascii="Calibri" w:hAnsi="Calibri"/>
          <w:b/>
          <w:color w:val="1F2937"/>
          <w:sz w:val="32"/>
        </w:rPr>
        <w:t>Operational Shifts to Safeguard Profitability</w:t>
      </w:r>
    </w:p>
    <w:p>
      <w:r>
        <w:rPr>
          <w:rFonts w:ascii="Calibri" w:hAnsi="Calibri"/>
          <w:color w:val="374151"/>
          <w:sz w:val="22"/>
        </w:rPr>
        <w:t>Managing long-term tariff volatility demands structural changes beyond simple paperwork. Broadening supplier networks across multiple regions prevents sudden policy changes from stopping operations entirely. Entering alternative markets also lowers dependence on any single trade partner.</w:t>
      </w:r>
    </w:p>
    <w:p>
      <w:r>
        <w:rPr>
          <w:rFonts w:ascii="Calibri" w:hAnsi="Calibri"/>
          <w:color w:val="374151"/>
          <w:sz w:val="22"/>
        </w:rPr>
        <w:t>Working alongside customs brokers offers direct protection against border delays and steep non-compliance penalties. Maintaining customs broker compliance USMCA standards lets businesses adjust quickly when regulations pivot.</w:t>
      </w:r>
    </w:p>
    <w:p>
      <w:r>
        <w:rPr>
          <w:rFonts w:ascii="Calibri" w:hAnsi="Calibri"/>
          <w:color w:val="374151"/>
          <w:sz w:val="22"/>
        </w:rPr>
        <w:t>Additionally, obtaining USMCA certification opens opportunities for retroactive duty recovery. If a company imported eligible goods without claiming preference initially, applying for a partial refund recovers duties already paid. Combining these savings with ports offering streamlined customs checks lowers fuel expenses and shortens overall transit times.</w:t>
      </w:r>
    </w:p>
    <w:p>
      <w:pPr>
        <w:pStyle w:val="Heading2"/>
      </w:pPr>
      <w:r>
        <w:rPr>
          <w:rFonts w:ascii="Calibri" w:hAnsi="Calibri"/>
          <w:b/>
          <w:color w:val="1F2937"/>
          <w:sz w:val="32"/>
        </w:rPr>
        <w:t>Precision Planning with SeaRates Distance &amp; Time</w:t>
      </w:r>
    </w:p>
    <w:p>
      <w:r>
        <w:rPr>
          <w:rFonts w:ascii="Calibri" w:hAnsi="Calibri"/>
          <w:color w:val="374151"/>
          <w:sz w:val="22"/>
        </w:rPr>
        <w:t>Evaluating alternative routes requires reliable data rather than guesswork. Using SeaRates Distance and Time route optimization gives operators the tools needed to evaluate complex transport networks accurately:</w:t>
      </w:r>
    </w:p>
    <w:p>
      <w:pPr>
        <w:pStyle w:val="ListBullet"/>
      </w:pPr>
      <w:r>
        <w:rPr>
          <w:rFonts w:ascii="Calibri" w:hAnsi="Calibri"/>
          <w:color w:val="374151"/>
          <w:sz w:val="22"/>
        </w:rPr>
        <w:t>Calculate precise distances between locations for ocean, air, rail, and road transport.</w:t>
      </w:r>
    </w:p>
    <w:p>
      <w:pPr>
        <w:pStyle w:val="ListBullet"/>
      </w:pPr>
      <w:r>
        <w:rPr>
          <w:rFonts w:ascii="Calibri" w:hAnsi="Calibri"/>
          <w:color w:val="374151"/>
          <w:sz w:val="22"/>
        </w:rPr>
        <w:t>Access updated transit time data to plan reliable shipping schedules.</w:t>
      </w:r>
    </w:p>
    <w:p>
      <w:pPr>
        <w:pStyle w:val="ListBullet"/>
      </w:pPr>
      <w:r>
        <w:rPr>
          <w:rFonts w:ascii="Calibri" w:hAnsi="Calibri"/>
          <w:color w:val="374151"/>
          <w:sz w:val="22"/>
        </w:rPr>
        <w:t>Compare multimodal transport options to determine overall trade profitability.</w:t>
      </w:r>
    </w:p>
    <w:p>
      <w:pPr>
        <w:pStyle w:val="ListBullet"/>
      </w:pPr>
      <w:r>
        <w:rPr>
          <w:rFonts w:ascii="Calibri" w:hAnsi="Calibri"/>
          <w:color w:val="374151"/>
          <w:sz w:val="22"/>
        </w:rPr>
        <w:t>Visualize full vessel paths on interactive maps.</w:t>
      </w:r>
    </w:p>
    <w:p>
      <w:pPr>
        <w:pStyle w:val="ListBullet"/>
      </w:pPr>
      <w:r>
        <w:rPr>
          <w:rFonts w:ascii="Calibri" w:hAnsi="Calibri"/>
          <w:color w:val="374151"/>
          <w:sz w:val="22"/>
        </w:rPr>
        <w:t>Identify optimal routes based on time and distance to lower freight expenses.</w:t>
      </w:r>
    </w:p>
    <w:p>
      <w:pPr>
        <w:pStyle w:val="ListBullet"/>
      </w:pPr>
      <w:r>
        <w:rPr>
          <w:rFonts w:ascii="Calibri" w:hAnsi="Calibri"/>
          <w:color w:val="374151"/>
          <w:sz w:val="22"/>
        </w:rPr>
        <w:t>Leverage accurate logistics data to forecast delivery schedules reliably.</w:t>
      </w:r>
    </w:p>
    <w:p>
      <w:r>
        <w:rPr>
          <w:rFonts w:ascii="Calibri" w:hAnsi="Calibri"/>
          <w:color w:val="374151"/>
          <w:sz w:val="22"/>
        </w:rPr>
        <w:t>To scale your operations through web integration or API access, reach out to sales@searates.com for tailored logistics solutions.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