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Managing FX Risk in Freight and Importing</w:t>
      </w:r>
    </w:p>
    <w:p>
      <w:r>
        <w:rPr>
          <w:i/>
          <w:sz w:val="18"/>
        </w:rPr>
        <w:t>Meta Title: FX Risk Management for Importers and Forwarders</w:t>
      </w:r>
    </w:p>
    <w:p>
      <w:r>
        <w:rPr>
          <w:i/>
          <w:sz w:val="18"/>
        </w:rPr>
        <w:t>Meta Description: A practical look at where currency risk hides in shipping, and the hedging tools importers and freight forwarders actually use to manage it.</w:t>
      </w:r>
    </w:p>
    <w:p/>
    <w:p>
      <w:r>
        <w:t>Money changes shape the moment it crosses a border, and shipping crosses a lot of them.</w:t>
      </w:r>
    </w:p>
    <w:p>
      <w:r>
        <w:t>A single shipment might carry a carrier invoice in US dollars, an inland haulage bill in local currency, and a customs charge in whatever currency the destination country uses. For importers and freight forwarders working on the kind of margins this industry is known for, that mix isn't background noise. A currency swing of just 1% can be the difference between a haul that pays and one that quietly loses money.</w:t>
      </w:r>
    </w:p>
    <w:p>
      <w:r>
        <w:t>What follows is where this exposure actually comes from, the handful of concepts worth knowing, and the tools people use to keep it from eating into margin.</w:t>
      </w:r>
    </w:p>
    <w:p>
      <w:pPr>
        <w:pStyle w:val="Heading2"/>
      </w:pPr>
      <w:r>
        <w:t>Where the exposure actually sits</w:t>
      </w:r>
    </w:p>
    <w:p>
      <w:r>
        <w:t>For an importer, the clearest gap opens between the order and the payment.</w:t>
      </w:r>
    </w:p>
    <w:p>
      <w:r>
        <w:t>Say a supplier based in Shenzhen prices the order in dollars, with payment landing sometime in the 30-to-60-day window after the goods ship. If the buyer's home currency weakens against the dollar during that window, the goods get more expensive before they've even cleared customs at the other end. Managing that gap takes some planning; it doesn't close itself.</w:t>
      </w:r>
    </w:p>
    <w:p>
      <w:r>
        <w:t>Freight forwarders carry a messier version of the same problem. They tend to pay shipping lines in dollars, settle inland trucking and rail in local currency, and invoice customers in whatever the customer wants to be billed in. A single multi-leg booking can involve three or four separate currencies. A forwarder quoting in one currency and settling in several others, with no plan for the gap between them, ends up carrying an unhedged FX position, intentionally or not.</w:t>
      </w:r>
    </w:p>
    <w:p>
      <w:r>
        <w:t>Then there's the exposure nobody budgets for. Demurrage and detention charges usually get billed in whatever currency the carrier invoices in, and that bill can land weeks after the shipment has already moved. Customs duties and VAT are worked out from the landed value expressed in the destination country's currency, so if rates move between the time of booking and the shipment's arrival, duties can end up higher than what was originally budgeted. Even cargo insurance, when it's underwritten internationally, tends to involve a conversion somewhere at settlement.</w:t>
      </w:r>
    </w:p>
    <w:p>
      <w:pPr>
        <w:pStyle w:val="Heading2"/>
      </w:pPr>
      <w:r>
        <w:t>Three terms worth knowing</w:t>
      </w:r>
    </w:p>
    <w:p>
      <w:r>
        <w:rPr>
          <w:b/>
        </w:rPr>
        <w:t>Spot rate.</w:t>
      </w:r>
      <w:r>
        <w:t xml:space="preserve"> The rate on offer at this exact moment, for delivery straight away. It's the number in financial headlines, and it's rarely the number a business actually gets. Banks and payment providers build a margin into it, the spread, the gap between what the market actually shows and what customers get quoted. Once every fee is counted, high-street banks typically land somewhere in the two-to-four-percent range for SMEs on international payments. Specialist providers usually charge less, though that's not guaranteed across the board.</w:t>
      </w:r>
    </w:p>
    <w:p>
      <w:r>
        <w:rPr>
          <w:b/>
        </w:rPr>
        <w:t>Forward rate.</w:t>
      </w:r>
      <w:r>
        <w:t xml:space="preserve"> A rate fixed today for something that settles later. A forward contract lets a business fix what a later payment will cost, well before it's due, so an importer who knows they'll owe USD 200,000 in 90 days can turn that unknown cost into a known one before it arrives.</w:t>
      </w:r>
    </w:p>
    <w:p>
      <w:r>
        <w:rPr>
          <w:b/>
        </w:rPr>
        <w:t>Multi-currency accounts.</w:t>
      </w:r>
      <w:r>
        <w:t xml:space="preserve"> These hold money in more than one currency simultaneously, so funds can be received or sent out without a forced currency swap each time. A forwarder collecting euros from European customers while paying carriers in dollars can hold a dollar balance and skip the round-trip conversion, which otherwise gets paid for twice.</w:t>
      </w:r>
    </w:p>
    <w:p>
      <w:pPr>
        <w:pStyle w:val="Heading2"/>
      </w:pPr>
      <w:r>
        <w:t>Putting the tools to work</w:t>
      </w:r>
    </w:p>
    <w:p>
      <w:pPr>
        <w:pStyle w:val="Heading3"/>
      </w:pPr>
      <w:r>
        <w:t>Match currencies when you can</w:t>
      </w:r>
    </w:p>
    <w:p>
      <w:r>
        <w:t>Natural hedging, matching what comes in with what goes out in currency terms, costs less than any other approach. A forwarder invoicing customers in dollars while settling carriers in dollars sidesteps a conversion entirely. Wherever the customer relationship allows it, lining up invoicing currency with settlement currency is the obvious first move.</w:t>
      </w:r>
    </w:p>
    <w:p>
      <w:pPr>
        <w:pStyle w:val="Heading3"/>
      </w:pPr>
      <w:r>
        <w:t>Hold more than one currency at once</w:t>
      </w:r>
    </w:p>
    <w:p>
      <w:r>
        <w:t>With a multi-currency account, a business can receive dollars, euros, pounds, or other major currencies and simply hold them until there's a use for them. That avoids the double conversion that happens when incoming funds get converted into a home currency first and then changed back again just to pay a supplier.</w:t>
      </w:r>
    </w:p>
    <w:p>
      <w:pPr>
        <w:pStyle w:val="Heading3"/>
      </w:pPr>
      <w:r>
        <w:t>Fix the rate on payments you already know are coming</w:t>
      </w:r>
    </w:p>
    <w:p>
      <w:r>
        <w:t>Any payment that's reasonably certain, a large shipment landing in 60 days, a carrier invoice that recurs every month, a planned transport drawdown, is a fair candidate for a forward contract. Forward contracts here work like insurance for the budget, covering moves the business itself has no say over.</w:t>
      </w:r>
    </w:p>
    <w:p>
      <w:pPr>
        <w:pStyle w:val="Heading3"/>
      </w:pPr>
      <w:r>
        <w:t>Stop routing everything through the main bank</w:t>
      </w:r>
    </w:p>
    <w:p>
      <w:r>
        <w:t>Cross-border payments are usually an afterthought for high-street banks, and the pricing reflects that. Moving currency payments over to a specialist international payments provider tends to bring tighter spreads, quicker settlement, and sharper hedging tools, and it can happen without disturbing the core banking relationship still used for loans, deposits, and everyday domestic payments.</w:t>
      </w:r>
    </w:p>
    <w:p>
      <w:pPr>
        <w:pStyle w:val="Heading3"/>
      </w:pPr>
      <w:r>
        <w:t>Automate the boring stuff</w:t>
      </w:r>
    </w:p>
    <w:p>
      <w:r>
        <w:t>A forwarder settling dozens of carrier invoices a month faces both operational risk and added cost from manual payment workflows. Bulk payment tools push batches of cross-border payments through in one pass, generally at better rates, with fewer places for a mistake to creep in.</w:t>
      </w:r>
    </w:p>
    <w:p>
      <w:pPr>
        <w:pStyle w:val="Heading2"/>
      </w:pPr>
      <w:r>
        <w:t>Where people go wrong</w:t>
      </w:r>
    </w:p>
    <w:p>
      <w:r>
        <w:t>Most businesses simply don't have a policy. FX management happens by accident, through whatever payment workflow was already sitting there. Over-hedging shows up almost as often: forward contracts make sense for exposures a business can actually count on, but locking in rates against something speculative or vague can lose money just as easily as it saves it.</w:t>
      </w:r>
    </w:p>
    <w:p>
      <w:r>
        <w:t>The spread gets ignored more than anything else. Plenty of businesses obsess over the visible transaction fee and never look closely at the rate underneath it, and the markup baked into that rate is frequently several times larger than any fee they were tracking.</w:t>
      </w:r>
    </w:p>
    <w:p>
      <w:pPr>
        <w:pStyle w:val="Heading2"/>
      </w:pPr>
      <w:r>
        <w:t>What it comes down to</w:t>
      </w:r>
    </w:p>
    <w:p>
      <w:r>
        <w:t>None of this needs to be complicated. A clear picture of where the exposure sits, a working knowledge of the basic tools, plus enough willingness to shift part of the payment flow off the default bank setup, usually recovers real margin that would otherwise leak away to currency markets. Trade policy uncertainty isn't going anywhere this year, and FX volatility tends to follow close behind. It's one of the few pieces of the operations balance sheet a business can actually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