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Invoice Vs. Packing List Vs.: Practical Logistics Guide</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Commercial Invoice Vs. Packing List Vs.: Practical Logistics Guide</w:t>
            </w:r>
          </w:p>
        </w:tc>
      </w:tr>
      <w:tr>
        <w:tc>
          <w:tcPr>
            <w:tcW w:type="dxa" w:w="4320"/>
          </w:tcPr>
          <w:p>
            <w:r>
              <w:rPr>
                <w:b/>
              </w:rPr>
              <w:t>Meta Description</w:t>
            </w:r>
          </w:p>
        </w:tc>
        <w:tc>
          <w:tcPr>
            <w:tcW w:type="dxa" w:w="4320"/>
          </w:tcPr>
          <w:p>
            <w:r>
              <w:t>Practical guide on commercial invoice vs. packing list vs. for international ocean freight, customs compliance, and supply chain cost prevention.</w:t>
            </w:r>
          </w:p>
        </w:tc>
      </w:tr>
      <w:tr>
        <w:tc>
          <w:tcPr>
            <w:tcW w:type="dxa" w:w="4320"/>
          </w:tcPr>
          <w:p>
            <w:r>
              <w:rPr>
                <w:b/>
              </w:rPr>
              <w:t>Keywords</w:t>
            </w:r>
          </w:p>
        </w:tc>
        <w:tc>
          <w:tcPr>
            <w:tcW w:type="dxa" w:w="4320"/>
          </w:tcPr>
          <w:p>
            <w:r>
              <w:t>commercial invoice vs. packing list vs., ocean shipping, customs clearance, freight forwarding, supply chain</w:t>
            </w:r>
          </w:p>
        </w:tc>
      </w:tr>
    </w:tbl>
    <w:p/>
    <w:p>
      <w:pPr>
        <w:pStyle w:val="Heading2"/>
      </w:pPr>
      <w:r>
        <w:t>1. Operational Context and Industry Framework</w:t>
      </w:r>
    </w:p>
    <w:p>
      <w:r>
        <w:t>Managing international ocean freight requires strict adherence to operational standards regarding commercial invoice vs. packing list vs.. In global trade, small procedural oversights at origin facilities or port gates escalate into major commercial disputes. Understanding legal boundaries, document requirements, and carrier liabilities ensures predictable cargo execution.</w:t>
        <w:br/>
        <w:br/>
        <w:t>When cargo moves across ocean trade lanes, every handover point creates distinct operational risks. Whether dealing with customs declarations, bill of lading terms, or container interchange receipts, establishing standardized procedures protects trading companies against unexpected financial losses.</w:t>
      </w:r>
    </w:p>
    <w:p>
      <w:pPr>
        <w:pStyle w:val="Heading2"/>
      </w:pPr>
      <w:r>
        <w:t>2. Key Rules and Compliance Requirements</w:t>
      </w:r>
    </w:p>
    <w:p>
      <w:r>
        <w:t>Commercial success in international shipping depends on accurate documentation and regulatory alignment. Key operational priorities include:</w:t>
        <w:br/>
        <w:br/>
        <w:t>- Systematic Verification: Cross-checking commercial invoices, packing lists, and transport documents against official tariff schedules prior to vessel departure.</w:t>
        <w:br/>
        <w:t>- Regulatory Adherence: Following statutory border requirements to prevent customs holds, physical exam penalties, and port demurrage charges.</w:t>
        <w:br/>
        <w:t>- Digital Record Keeping: Archiving electronic bills of lading, inspection certificates, and gate receipts in searchable centralized databases.</w:t>
        <w:br/>
        <w:br/>
        <w:t>Integrating digital tracking and management portals like</w:t>
      </w:r>
      <w:hyperlink r:id="rId9">
        <w:r>
          <w:rPr>
            <w:color w:val="0008FF"/>
            <w:u w:val="single"/>
          </w:rPr>
          <w:t>Navo24 Freight Platform</w:t>
        </w:r>
      </w:hyperlink>
      <w:r>
        <w:t>empowers logistics managers to maintain full operational control across global trade lanes. Furthermore, alignment with</w:t>
      </w:r>
      <w:hyperlink r:id="rId10">
        <w:r>
          <w:rPr>
            <w:color w:val="0008FF"/>
            <w:u w:val="single"/>
          </w:rPr>
          <w:t>World Customs Organization Frameworks</w:t>
        </w:r>
      </w:hyperlink>
      <w:r>
        <w:t>ensures complete regulatory compliance during import clearance.</w:t>
      </w:r>
    </w:p>
    <w:p>
      <w:pPr>
        <w:pStyle w:val="Heading2"/>
      </w:pPr>
      <w:r>
        <w:t>3. Step-by-Step Implementation for Shippers and Forwarders</w:t>
      </w:r>
    </w:p>
    <w:p>
      <w:r>
        <w:t>To optimize operations related to commercial invoice vs. packing list vs., logistics teams should execute the following protocol:</w:t>
        <w:br/>
        <w:br/>
        <w:t>Step 1: Audit initial shipping instructions and vendor documentation at least 72 hours prior to cargo gate-in.</w:t>
        <w:br/>
        <w:br/>
        <w:t>Step 2: Verify specific commodity descriptions, tariff classifications, and destination regulatory requirements with local customs brokers.</w:t>
        <w:br/>
        <w:br/>
        <w:t>Step 3: Monitor container release milestones continuously to prevent demurrage and detention penalty fees at port terminals.</w:t>
        <w:br/>
        <w:br/>
        <w:t>Step 4: Maintain audit-ready digital archives of all entry summary documents, bills of lading, and payment receipts.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