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Guide to Customs Release Types and Clearance Procedures</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Guide to Customs Release Types and Clearance Procedures</w:t>
            </w:r>
          </w:p>
        </w:tc>
      </w:tr>
      <w:tr>
        <w:tc>
          <w:tcPr>
            <w:tcW w:type="dxa" w:w="4320"/>
          </w:tcPr>
          <w:p>
            <w:r>
              <w:rPr>
                <w:b/>
              </w:rPr>
              <w:t>Meta Description</w:t>
            </w:r>
          </w:p>
        </w:tc>
        <w:tc>
          <w:tcPr>
            <w:tcW w:type="dxa" w:w="4320"/>
          </w:tcPr>
          <w:p>
            <w:r>
              <w:t>Understand customs release types, carrier release mechanisms, and import clearance steps to prevent port delays.</w:t>
            </w:r>
          </w:p>
        </w:tc>
      </w:tr>
      <w:tr>
        <w:tc>
          <w:tcPr>
            <w:tcW w:type="dxa" w:w="4320"/>
          </w:tcPr>
          <w:p>
            <w:r>
              <w:rPr>
                <w:b/>
              </w:rPr>
              <w:t>Keywords</w:t>
            </w:r>
          </w:p>
        </w:tc>
        <w:tc>
          <w:tcPr>
            <w:tcW w:type="dxa" w:w="4320"/>
          </w:tcPr>
          <w:p>
            <w:r>
              <w:t>customs release, import clearance, carrier release, port detention, customs brokerage, bill of lading</w:t>
            </w:r>
          </w:p>
        </w:tc>
      </w:tr>
    </w:tbl>
    <w:p/>
    <w:p>
      <w:pPr>
        <w:pStyle w:val="Heading2"/>
      </w:pPr>
      <w:r>
        <w:t>Understanding the Difference Between Customs and Carrier Release</w:t>
      </w:r>
    </w:p>
    <w:p>
      <w:r>
        <w:t>Import cargo cannot exit port gates without two distinct green lights: official customs clearance and carrier release. Customs release confirms that duties, taxes, and regulatory requirements have been fulfilled. Carrier release indicates that ocean freight charges, bills of lading, and port fees are paid in full. Misunderstanding these two approvals is a primary cause of costly port demurrage fees.</w:t>
      </w:r>
    </w:p>
    <w:p>
      <w:pPr>
        <w:pStyle w:val="Heading2"/>
      </w:pPr>
      <w:r>
        <w:t>Key Types of Customs Clearances in Global Logistics</w:t>
      </w:r>
    </w:p>
    <w:p>
      <w:r>
        <w:t>Customs authorities utilize distinct release mechanisms depending on cargo risk profiles and documentation completeness. Pre-arrival clearance allows entry processing before the vessel berths, minimizing dwell times. Physical inspection holds occur when documentation discrepancies or random inspections arise. Integrating automated compliance tools through</w:t>
      </w:r>
      <w:hyperlink r:id="rId9">
        <w:r>
          <w:rPr>
            <w:color w:val="0008FF"/>
            <w:u w:val="single"/>
          </w:rPr>
          <w:t>Navo24 Customs Tracking Tools</w:t>
        </w:r>
      </w:hyperlink>
      <w:r>
        <w:t xml:space="preserve"> allows logistics managers to gain end-to-end visibility across global trade routes. Additionally, following </w:t>
      </w:r>
      <w:hyperlink r:id="rId10">
        <w:r>
          <w:rPr>
            <w:color w:val="0008FF"/>
            <w:u w:val="single"/>
          </w:rPr>
          <w:t>World Customs Organization guidelines</w:t>
        </w:r>
      </w:hyperlink>
      <w:r>
        <w:t xml:space="preserve"> ensures complete operational compliance.</w:t>
      </w:r>
    </w:p>
    <w:p>
      <w:pPr>
        <w:pStyle w:val="Heading3"/>
      </w:pPr>
      <w:r>
        <w:t>Streamlining Import Procedures to Prevent Port Storage Charges</w:t>
      </w:r>
    </w:p>
    <w:p>
      <w:r>
        <w:t>To maintain uninterrupted supply chains, importers must coordinate customs brokers, terminal operators, and drayage truckers. Early document submission, accurate HS code classification, and digital release tracking prevent unexpected holds. Standardized clearance workflows allow businesses to optimize port throughput and protect profit margins.</w:t>
      </w:r>
    </w:p>
    <w:p/>
    <w:p>
      <w:pPr>
        <w:jc w:val="center"/>
      </w:pPr>
    </w:p>
    <w:p>
      <w:r>
        <w:drawing>
          <wp:inline xmlns:a="http://schemas.openxmlformats.org/drawingml/2006/main" xmlns:pic="http://schemas.openxmlformats.org/drawingml/2006/picture">
            <wp:extent cx="4572000" cy="3046095"/>
            <wp:docPr id="1" name="Picture 1"/>
            <wp:cNvGraphicFramePr>
              <a:graphicFrameLocks noChangeAspect="1"/>
            </wp:cNvGraphicFramePr>
            <a:graphic>
              <a:graphicData uri="http://schemas.openxmlformats.org/drawingml/2006/picture">
                <pic:pic>
                  <pic:nvPicPr>
                    <pic:cNvPr id="0" name="article_img_1.jpg"/>
                    <pic:cNvPicPr/>
                  </pic:nvPicPr>
                  <pic:blipFill>
                    <a:blip r:embed="rId11"/>
                    <a:stretch>
                      <a:fillRect/>
                    </a:stretch>
                  </pic:blipFill>
                  <pic:spPr>
                    <a:xfrm>
                      <a:off x="0" y="0"/>
                      <a:ext cx="4572000" cy="3046095"/>
                    </a:xfrm>
                    <a:prstGeom prst="rect"/>
                  </pic:spPr>
                </pic:pic>
              </a:graphicData>
            </a:graphic>
          </wp:inline>
        </w:drawing>
      </w:r>
    </w:p>
    <w:p>
      <w:pPr>
        <w:jc w:val="center"/>
      </w:pPr>
      <w:r>
        <w:rPr>
          <w:i/>
        </w:rPr>
        <w:t>Figure 2: Global shipping and supply chain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services" TargetMode="External"/><Relationship Id="rId10" Type="http://schemas.openxmlformats.org/officeDocument/2006/relationships/hyperlink" Target="https://www.wcoomd.org" TargetMode="Externa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