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Importer Of Record Services Are: Practical Shipping Guide</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Importer Of Record Services Are: Practical Shipping Guide</w:t>
            </w:r>
          </w:p>
        </w:tc>
      </w:tr>
      <w:tr>
        <w:tc>
          <w:tcPr>
            <w:tcW w:type="dxa" w:w="4320"/>
          </w:tcPr>
          <w:p>
            <w:r>
              <w:rPr>
                <w:b/>
              </w:rPr>
              <w:t>Meta Description</w:t>
            </w:r>
          </w:p>
        </w:tc>
        <w:tc>
          <w:tcPr>
            <w:tcW w:type="dxa" w:w="4320"/>
          </w:tcPr>
          <w:p>
            <w:r>
              <w:t>Practical guide on how importer of record services are for ocean freight, port operations, customs compliance, and supply chain cost prevention.</w:t>
            </w:r>
          </w:p>
        </w:tc>
      </w:tr>
      <w:tr>
        <w:tc>
          <w:tcPr>
            <w:tcW w:type="dxa" w:w="4320"/>
          </w:tcPr>
          <w:p>
            <w:r>
              <w:rPr>
                <w:b/>
              </w:rPr>
              <w:t>Keywords</w:t>
            </w:r>
          </w:p>
        </w:tc>
        <w:tc>
          <w:tcPr>
            <w:tcW w:type="dxa" w:w="4320"/>
          </w:tcPr>
          <w:p>
            <w:r>
              <w:t>how importer of record services are, ocean shipping, freight forwarding, customs clearance, port operations</w:t>
            </w:r>
          </w:p>
        </w:tc>
      </w:tr>
    </w:tbl>
    <w:p/>
    <w:p>
      <w:pPr>
        <w:pStyle w:val="Heading2"/>
      </w:pPr>
      <w:r>
        <w:t>1. Operational Framework and Market Dynamics</w:t>
      </w:r>
    </w:p>
    <w:p>
      <w:r>
        <w:t>Managing international ocean freight corridors requires strict operational adherence regarding how importer of record services are. In global trade, small procedural oversights at origin manufacturing plants or port gate intersections rapidly escalate into major commercial disputes.</w:t>
        <w:br/>
        <w:br/>
        <w:t>When cargo moves across ocean trade routes between major commercial gateways such as Shanghai, Rotterdam, Hamburg, or Los Angeles, every transfer point introduces distinct operational variables. Whether managing customs entry declarations, transport document validation, or container interchange receipts, establishing standardized procedures protects trading companies against unexpected financial losses.</w:t>
        <w:br/>
        <w:br/>
        <w:t>Recent supply chain shifts, ocean carrier vessel re-routings, and changing port free time schedules emphasize the necessity of proactive freight execution. Beneficial cargo owners and freight forwarders who audit transport documentation early prevent cargo delays and maintain predictable distribution timelines.</w:t>
      </w:r>
    </w:p>
    <w:p>
      <w:pPr>
        <w:pStyle w:val="Heading2"/>
      </w:pPr>
      <w:r>
        <w:t>2. Core Regulatory and Commercial Requirements</w:t>
      </w:r>
    </w:p>
    <w:p>
      <w:r>
        <w:t>Achieving commercial efficiency in international shipping demands thorough document accuracy and strict regulatory alignment. Key operational priorities include:</w:t>
        <w:br/>
        <w:br/>
        <w:t>- Systematic Document Audits: Cross-checking commercial invoices, shipping packing lists, and bills of lading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br/>
        <w:br/>
        <w:t>Integrating digital management and tracking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pPr>
        <w:pStyle w:val="Heading2"/>
      </w:pPr>
      <w:r>
        <w:t>3. Detailed Operational Breakdown and Process Steps</w:t>
      </w:r>
    </w:p>
    <w:p>
      <w:r>
        <w:t>To optimize shipping performance related to how importer of record services are, logistics managers should enforce the following four-step execution protocol:</w:t>
        <w:br/>
        <w:br/>
        <w:t>Step 1: Audit initial shipping instructions and vendor documentation at least 72 hours prior to origin container gate-in.</w:t>
        <w:br/>
        <w:br/>
        <w:t>Step 2: Verify specific commodity descriptions, tariff classifications, and destination regulatory requirements with local customs brokers.</w:t>
        <w:br/>
        <w:br/>
        <w:t>Step 3: Monitor container release milestones continuously to prevent demurrage and detention penalty fees at marine terminals.</w:t>
        <w:br/>
        <w:br/>
        <w:t>Step 4: Maintain audit-ready digital archives of all entry summary documents, bills of lading, and payment receipts.</w:t>
      </w:r>
    </w:p>
    <w:p>
      <w:pPr>
        <w:pStyle w:val="Heading2"/>
      </w:pPr>
      <w:r>
        <w:t>4. Cost Prevention and Financial Risk Mitigation</w:t>
      </w:r>
    </w:p>
    <w:p>
      <w:r>
        <w:t>Controlling freight expenditure extends beyond negotiating base ocean rates. When documentation discrepancies or customs holds occur at destination ocean terminals, penalty charges accrue rapidly on sliding scale tariffs.</w:t>
        <w:br/>
        <w:br/>
        <w:t>Demurrage charges imposed by ocean carriers and terminal storage fees assessed by port operators can exceed $200 to $400 per container per day. In addition, secondary detention fees for holding container equipment past free time allowances further erode commercial margins.</w:t>
        <w:br/>
        <w:br/>
        <w:t>Implementing pre-clearance customs protocols, pre-booking drayage trucking capacity, and maintaining direct communication with destination port authorities eliminates avoidable storage charges and protects trading profitability.</w:t>
      </w:r>
    </w:p>
    <w:p>
      <w:pPr>
        <w:pStyle w:val="Heading2"/>
      </w:pPr>
      <w:r>
        <w:t>5. Long-Term Recommendations for Supply Chain Execution</w:t>
      </w:r>
    </w:p>
    <w:p>
      <w:r>
        <w:t>Navigating volatile ocean freight markets requires moving beyond reactive troubleshooting toward structured supply chain management. Trading companies that analyze historical shipping data, diversify port gateway allocations, and maintain multi-carrier relationships navigate market disruptions far more effectively.</w:t>
        <w:br/>
        <w:br/>
        <w:t>By combining early booking discipline, accurate volume forecasting, automated tracking visibility, and robust drayage coordination, international shippers safeguard operating margins, eliminate unnecessary penalty expenses, and build resilient global logistics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