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Eta In Shipping How Delivery: Complete Pillar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Eta In Shipping How Delivery: Complete Pillar Manual</w:t>
            </w:r>
          </w:p>
        </w:tc>
      </w:tr>
      <w:tr>
        <w:tc>
          <w:tcPr>
            <w:tcW w:type="dxa" w:w="4320"/>
          </w:tcPr>
          <w:p>
            <w:r>
              <w:rPr>
                <w:b/>
              </w:rPr>
              <w:t>Meta Description</w:t>
            </w:r>
          </w:p>
        </w:tc>
        <w:tc>
          <w:tcPr>
            <w:tcW w:type="dxa" w:w="4320"/>
          </w:tcPr>
          <w:p>
            <w:r>
              <w:t>Deep pillar guide on eta in shipping how delivery in international shipping, detailing port clearance, cost models, risk mitigation, and case studies.</w:t>
            </w:r>
          </w:p>
        </w:tc>
      </w:tr>
      <w:tr>
        <w:tc>
          <w:tcPr>
            <w:tcW w:type="dxa" w:w="4320"/>
          </w:tcPr>
          <w:p>
            <w:r>
              <w:rPr>
                <w:b/>
              </w:rPr>
              <w:t>Keywords</w:t>
            </w:r>
          </w:p>
        </w:tc>
        <w:tc>
          <w:tcPr>
            <w:tcW w:type="dxa" w:w="4320"/>
          </w:tcPr>
          <w:p>
            <w:r>
              <w:t>eta in shipping how delivery, maritime logistics, ocean freight, port operations, container shipping, supply chain</w:t>
            </w:r>
          </w:p>
        </w:tc>
      </w:tr>
    </w:tbl>
    <w:p/>
    <w:p>
      <w:pPr>
        <w:pStyle w:val="Heading2"/>
      </w:pPr>
      <w:r>
        <w:t>1. Conceptual Framework and Industry Scope</w:t>
      </w:r>
    </w:p>
    <w:p>
      <w:r>
        <w:t>In international ocean freight logistics, few operational topics carry as much commercial significance as eta in shipping how delivery. As global trade networks expand across complex multi-modal transport corridors, managing transport execution, customs clearance, and port operations demands systematic oversight.</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br/>
        <w:br/>
        <w:t>Analyzing international trade corridors serving major gateways such as Rotterdam, Hamburg, Shanghai, Singapore, and Los Angeles underscores the necessity of structured documentation and real-time tracking visibility across every shipping stage.</w:t>
      </w:r>
    </w:p>
    <w:p>
      <w:pPr>
        <w:pStyle w:val="Heading2"/>
      </w:pPr>
      <w:r>
        <w:t>2. Regulatory Compliance and Documentation Requirements</w:t>
      </w:r>
    </w:p>
    <w:p>
      <w:r>
        <w:t>Customs border enforcement agencies and maritime regulators enforce strict statutory requirements regarding cargo documentation. Key compliance elements include:</w:t>
        <w:br/>
        <w:br/>
        <w:t>- Commercial Invoices and Packing Lists: Detailed financial valuations, transaction currencies, Incoterms, net/gross weight breakdowns, and package counts.</w:t>
        <w:br/>
        <w:t>- Tariff Classification Accuracy: Assigning correct six-digit WCO Harmonized System codes and national tariff sub-headings to avoid customs misdeclaration penalties.</w:t>
        <w:br/>
        <w:t>- Transport Bills of Lading: Issued as negotiable original bills or electronic sea waybills defining contract carriage conditions and carrier release terms.</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pPr>
        <w:pStyle w:val="Heading2"/>
      </w:pPr>
      <w:r>
        <w:t>3. Port Terminal Operations and Equipment Free Time</w:t>
      </w:r>
    </w:p>
    <w:p>
      <w:r>
        <w:t>Marine container terminals operate as critical bottlenecks in international ocean supply chains. Terminal operators establish free time frameworks to incentivize rapid container turnover and prevent yard stacking congestion.</w:t>
        <w:br/>
        <w:br/>
        <w:t>Understanding free time definitions and calculation rules is essential for cost prevention:</w:t>
        <w:br/>
        <w:br/>
        <w:t>- Demurrage Charges: Penalties assessed by ocean carriers when import containers remain inside terminal yards beyond allocated free time days prior to drayage pickup.</w:t>
        <w:br/>
        <w:t>- Detention Charges (Per Diem): Fees charged when container equipment is retained outside terminal facilities past agreed return deadlines.</w:t>
        <w:br/>
        <w:t>- Terminal Storage Fees: Assessments levied directly by marine terminal operators for physical space utilization inside port facilities.</w:t>
      </w:r>
    </w:p>
    <w:p>
      <w:pPr>
        <w:pStyle w:val="Heading2"/>
      </w:pPr>
      <w:r>
        <w:t>4. Mathematical Escalation of Storage Penalties</w:t>
      </w:r>
    </w:p>
    <w:p>
      <w:r>
        <w:t>Demurrage and detention fees are structured using aggressive tiered sliding scales where daily charges increase dramatically over time. For example, standard dry container demurrage rates may begin at $200 per day for days 5 to 8, escalating to $350 per day for days 9 to 12, and exceeding $500 per day thereafter.</w:t>
        <w:br/>
        <w:br/>
        <w:t>Under this sliding scale structure, a shipment of ten containers delayed for two weeks beyond free time accrues over $30,000 in demurrage penalties alone. When destination drayage charges and secondary terminal storage fees are added, penalty expenses can exceed the commercial value of the underlying goods.</w:t>
      </w:r>
    </w:p>
    <w:p>
      <w:pPr>
        <w:pStyle w:val="Heading2"/>
      </w:pPr>
      <w:r>
        <w:t>5. Step-by-Step Shipper Execution Protocol</w:t>
      </w:r>
    </w:p>
    <w:p>
      <w:r>
        <w:t>Establishing a resilient shipping workflow requires standardized operational protocols across warehouse staff, drayage drivers, and customs brokers. Follow this step-by-step checklist:</w:t>
        <w:br/>
        <w:br/>
        <w:t>Step 1: Audit export documentation and vendor invoices at least 72 hours prior to factory container loading.</w:t>
        <w:br/>
        <w:br/>
        <w:t>Step 2: Pre-clear import customs declarations electronically prior to vessel arrival at destination ports.</w:t>
        <w:br/>
        <w:br/>
        <w:t>Step 3: Track vessel AIS positions and carrier release milestones continuously using centralized logistics software.</w:t>
        <w:br/>
        <w:br/>
        <w:t>Step 4: Pre-book destination drayage trucking capacity and port gate appointments the moment terminal appointment windows open.</w:t>
        <w:br/>
        <w:br/>
        <w:t>Step 5: Maintain complete digital archives of all entry summary documents, bills of lading, and gate interchange receipts.</w:t>
      </w:r>
    </w:p>
    <w:p>
      <w:pPr>
        <w:pStyle w:val="Heading2"/>
      </w:pPr>
      <w:r>
        <w:t>6. Financial Recovery and Legal Liability Limits</w:t>
      </w:r>
    </w:p>
    <w:p>
      <w:r>
        <w:t>When cargo damage or loss occurs during ocean transit, recovering commercial value from ocean carriers is governed by international maritime legal conventions. Under Hague-Visby rules, carrier liability is limited to 666.67 SDR per package or 2 SDR per kilogram unless higher commercial values are declared.</w:t>
        <w:br/>
        <w:br/>
        <w:t>To overcome statutory liability limits and recover full commercial value, cargo owners must prove gross carrier negligence or unseaworthiness. Maintaining timestamped digital gate receipts, inspection records, and transport logs provides essential evidence for marine underwriters during insurance subrogation claims.</w:t>
      </w:r>
    </w:p>
    <w:p>
      <w:pPr>
        <w:pStyle w:val="Heading2"/>
      </w:pPr>
      <w:r>
        <w:t>7. Incoterms Allocation of Transport Risk and Cost</w:t>
      </w:r>
    </w:p>
    <w:p>
      <w:r>
        <w:t>Selecting appropriate Incoterms in international sales contracts determines which commercial party assumes transport cost obligations and risk. In EXW or FCA transactions, the buyer manages all transport stages from origin facilities onward. In DDP or DAP sales, the seller retains responsibility for destination customs clearance and drayage delivery, making local drayage pre-booking vital for profit margin protection.</w:t>
      </w:r>
    </w:p>
    <w:p>
      <w:pPr>
        <w:pStyle w:val="Heading2"/>
      </w:pPr>
      <w:r>
        <w:t>8. Strategic Recommendations for Global Supply Chains</w:t>
      </w:r>
    </w:p>
    <w:p>
      <w:r>
        <w:t>Eliminating transport bottlenecks and port penalty exposure requires moving from reactive troubleshooting to proactive supply chain management. Shippers should audit drayage partners regularly, adopt electronic sea waybills, and review international trade reference standards to build resilient global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