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Pre Travel Intelligence Is The: Practical Shipping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Why Pre Travel Intelligence Is The: Practical Shipping Manual</w:t>
            </w:r>
          </w:p>
        </w:tc>
      </w:tr>
      <w:tr>
        <w:tc>
          <w:tcPr>
            <w:tcW w:type="dxa" w:w="4320"/>
          </w:tcPr>
          <w:p>
            <w:r>
              <w:rPr>
                <w:b/>
              </w:rPr>
              <w:t>Meta Description</w:t>
            </w:r>
          </w:p>
        </w:tc>
        <w:tc>
          <w:tcPr>
            <w:tcW w:type="dxa" w:w="4320"/>
          </w:tcPr>
          <w:p>
            <w:r>
              <w:t>Practical guide on why pre travel intelligence is the for ocean freight, port operations, customs clearance, and supply chain cost prevention.</w:t>
            </w:r>
          </w:p>
        </w:tc>
      </w:tr>
      <w:tr>
        <w:tc>
          <w:tcPr>
            <w:tcW w:type="dxa" w:w="4320"/>
          </w:tcPr>
          <w:p>
            <w:r>
              <w:rPr>
                <w:b/>
              </w:rPr>
              <w:t>Keywords</w:t>
            </w:r>
          </w:p>
        </w:tc>
        <w:tc>
          <w:tcPr>
            <w:tcW w:type="dxa" w:w="4320"/>
          </w:tcPr>
          <w:p>
            <w:r>
              <w:t>why pre travel intelligence is the, ocean shipping, freight forwarding, customs clearance, port operations</w:t>
            </w:r>
          </w:p>
        </w:tc>
      </w:tr>
    </w:tbl>
    <w:p/>
    <w:p>
      <w:pPr>
        <w:pStyle w:val="Heading2"/>
      </w:pPr>
      <w:r>
        <w:t>1. Operational Scope and Strategic Context of Why Pre Travel Intelligence Is The</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Why Pre Travel Intelligence Is The</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why pre travel intelligence is the.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why pre travel intelligence is the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