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Optimizing Cold Chain Logistics For: Complete Pillar Manual</w:t>
      </w:r>
    </w:p>
    <w:tbl>
      <w:tblPr>
        <w:tblStyle w:val="TableGrid"/>
        <w:tblW w:type="auto" w:w="0"/>
        <w:tblLook w:firstColumn="1" w:firstRow="1" w:lastColumn="0" w:lastRow="0" w:noHBand="0" w:noVBand="1" w:val="04A0"/>
      </w:tblPr>
      <w:tblGrid>
        <w:gridCol w:w="4320"/>
        <w:gridCol w:w="4320"/>
      </w:tblGrid>
      <w:tr>
        <w:tc>
          <w:tcPr>
            <w:tcW w:type="dxa" w:w="4320"/>
          </w:tcPr>
          <w:p>
            <w:r>
              <w:rPr>
                <w:b/>
              </w:rPr>
              <w:t>Meta Title</w:t>
            </w:r>
          </w:p>
        </w:tc>
        <w:tc>
          <w:tcPr>
            <w:tcW w:type="dxa" w:w="4320"/>
          </w:tcPr>
          <w:p>
            <w:r>
              <w:t>Optimizing Cold Chain Logistics For: Complete Pillar Manual</w:t>
            </w:r>
          </w:p>
        </w:tc>
      </w:tr>
      <w:tr>
        <w:tc>
          <w:tcPr>
            <w:tcW w:type="dxa" w:w="4320"/>
          </w:tcPr>
          <w:p>
            <w:r>
              <w:rPr>
                <w:b/>
              </w:rPr>
              <w:t>Meta Description</w:t>
            </w:r>
          </w:p>
        </w:tc>
        <w:tc>
          <w:tcPr>
            <w:tcW w:type="dxa" w:w="4320"/>
          </w:tcPr>
          <w:p>
            <w:r>
              <w:t>Deep pillar guide on optimizing cold chain logistics for in international shipping, detailing port clearance, cost models, risk mitigation, and case studies.</w:t>
            </w:r>
          </w:p>
        </w:tc>
      </w:tr>
      <w:tr>
        <w:tc>
          <w:tcPr>
            <w:tcW w:type="dxa" w:w="4320"/>
          </w:tcPr>
          <w:p>
            <w:r>
              <w:rPr>
                <w:b/>
              </w:rPr>
              <w:t>Keywords</w:t>
            </w:r>
          </w:p>
        </w:tc>
        <w:tc>
          <w:tcPr>
            <w:tcW w:type="dxa" w:w="4320"/>
          </w:tcPr>
          <w:p>
            <w:r>
              <w:t>optimizing cold chain logistics for, maritime logistics, ocean freight, port operations, container shipping, supply chain</w:t>
            </w:r>
          </w:p>
        </w:tc>
      </w:tr>
    </w:tbl>
    <w:p/>
    <w:p>
      <w:pPr>
        <w:pStyle w:val="Heading2"/>
      </w:pPr>
      <w:r>
        <w:t>1. Conceptual Framework and Industry Scope of Optimizing Cold Chain Logistics For</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2. Regulatory Compliance and Border Customs Requirements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3. Port Terminal Operations and Equipment Free Time Rules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4. Mathematical Escalation of Demurrage and Storage Penalties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5. Primary Drivers of Container Storage Bottlenecks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6. Step-by-Step Shipper Execution Protocol</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hyperlink r:id="rId9">
        <w:r>
          <w:rPr>
            <w:color w:val="0008FF"/>
            <w:u w:val="single"/>
          </w:rPr>
          <w:t>Navo24 Tracking Engine</w:t>
        </w:r>
      </w:hyperlink>
      <w:r>
        <w:t>allows trade compliance managers to cross-check entry data against customs databases automatically. Furthermore, consulting guidelines published by</w:t>
      </w:r>
      <w:hyperlink r:id="rId10">
        <w:r>
          <w:rPr>
            <w:color w:val="0008FF"/>
            <w:u w:val="single"/>
          </w:rPr>
          <w:t>World Customs Organization Frameworks</w:t>
        </w:r>
      </w:hyperlink>
      <w:r>
        <w:t>supports international regulatory alignment across border checkpoints.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7. Financial Recovery and International Carrier Liability Limits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8. Incoterms Allocation of Transport Risk and Free Time Liability</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9. Insurance Protections and Contingency Risk Management</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10. Advanced Case Scenarios in Major Gateway Ports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11. Strategic Recommendations for Global Supply Chains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12. Future Outlook for Digital Freight Infrastructure</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p>
      <w:pPr>
        <w:pStyle w:val="Heading2"/>
      </w:pPr>
      <w:r>
        <w:t>13. Operational Summary and Next Steps for Trade Managers</w:t>
      </w:r>
    </w:p>
    <w:p>
      <w:r>
        <w:t>In international ocean freight logistics, few operational topics carry as much commercial significance as optimizing cold chain logistics for. As global trade networks expand across complex multi-modal transport corridors, managing transport execution, customs clearance, and port operations demands systematic oversight across origin facilities, ocean carriers, and destination border checkpoints.</w:t>
        <w:br/>
        <w:br/>
        <w:t>When cargo moves from origin manufacturing facilities through inland rail terminals, marine container yards, and ocean transit loops, legal custody and risk responsibilities transfer between multiple commercial entities. Misunderstanding contract terms, transport documentation requirements, or port free time allowances routinely leads to compounding operational delays and unexpected penalty fees.</w:t>
      </w:r>
    </w:p>
    <w:p>
      <w:r>
        <w:t>Analyzing international trade corridors serving major gateways such as Rotterdam, Hamburg, Shanghai, Singapore, and Los Angeles underscores the necessity of structured documentation and real-time tracking visibility regarding optimizing cold chain logistics for.</w:t>
        <w:br/>
        <w:br/>
        <w:t>Deploying automated compliance engines through</w:t>
      </w:r>
      <w:r>
        <w:t>Shippers who implement proactive compliance procedures protect trading margins, streamline customs entry processing, and eliminate unnecessary port storage penalties across international trade corridors.</w:t>
      </w:r>
    </w:p>
    <w:p>
      <w:r>
        <w:t>Establishing disciplined operational workflows across warehouse loading teams, customs brokers, and destination drayage truckers eliminates supply chain bottlenecks. Maintaining complete digital records ensures audit readiness and safeguards commercial trading relationships.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avo24.com" TargetMode="External"/><Relationship Id="rId10" Type="http://schemas.openxmlformats.org/officeDocument/2006/relationships/hyperlink" Target="https://www.wcoomd.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