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Using QR Codes to Streamline Shipping and Warehouse Logistics</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Using QR Codes to Streamline Shipping and Warehouse Logistics</w:t>
            </w:r>
          </w:p>
        </w:tc>
      </w:tr>
      <w:tr>
        <w:tc>
          <w:tcPr>
            <w:tcW w:type="dxa" w:w="4320"/>
          </w:tcPr>
          <w:p>
            <w:r>
              <w:rPr>
                <w:b/>
              </w:rPr>
              <w:t>Meta Description</w:t>
            </w:r>
          </w:p>
        </w:tc>
        <w:tc>
          <w:tcPr>
            <w:tcW w:type="dxa" w:w="4320"/>
          </w:tcPr>
          <w:p>
            <w:r>
              <w:t>Discover how QR code integration optimizes cargo tracking, inventory scans, and paperless logistics documentation.</w:t>
            </w:r>
          </w:p>
        </w:tc>
      </w:tr>
      <w:tr>
        <w:tc>
          <w:tcPr>
            <w:tcW w:type="dxa" w:w="4320"/>
          </w:tcPr>
          <w:p>
            <w:r>
              <w:rPr>
                <w:b/>
              </w:rPr>
              <w:t>Keywords</w:t>
            </w:r>
          </w:p>
        </w:tc>
        <w:tc>
          <w:tcPr>
            <w:tcW w:type="dxa" w:w="4320"/>
          </w:tcPr>
          <w:p>
            <w:r>
              <w:t>QR code logistics, warehouse tracking, cargo scanning, supply chain automation, paperless shipping</w:t>
            </w:r>
          </w:p>
        </w:tc>
      </w:tr>
    </w:tbl>
    <w:p/>
    <w:p>
      <w:pPr>
        <w:pStyle w:val="Heading2"/>
      </w:pPr>
      <w:r>
        <w:t>Replacing Paperwork with Dynamic QR Data Scans</w:t>
      </w:r>
    </w:p>
    <w:p>
      <w:r>
        <w:t>Traditional bills of lading and printed packing lists create administrative bottlenecks at warehouse loading docks. By embedding dynamic QR codes onto pallets, shipping labels, and master cartons, logistics teams instantly access real-time shipment histories, safety sheets, and destination routing data using standard mobile devices. This eliminates manual data entry errors completely.</w:t>
      </w:r>
    </w:p>
    <w:p>
      <w:pPr>
        <w:pStyle w:val="Heading2"/>
      </w:pPr>
      <w:r>
        <w:t>Enhancing Real-Time Cargo Visibility Across Handover Points</w:t>
      </w:r>
    </w:p>
    <w:p>
      <w:r>
        <w:t>When cargo moves through origin warehouses, cross-dock facilities, and port gates, every QR scan updates central tracking databases immediately. Drivers, terminal staff, and dispatchers obtain instant status confirmation without phone calls or emails. Forwarders leveraging unified tracking portals like</w:t>
      </w:r>
      <w:hyperlink r:id="rId9">
        <w:r>
          <w:rPr>
            <w:color w:val="0008FF"/>
            <w:u w:val="single"/>
          </w:rPr>
          <w:t>Navo24 Supply Chain Solutions</w:t>
        </w:r>
      </w:hyperlink>
      <w:r>
        <w:t xml:space="preserve"> allows logistics managers to gain end-to-end visibility across global trade routes. Additionally, following </w:t>
      </w:r>
      <w:hyperlink r:id="rId10">
        <w:r>
          <w:rPr>
            <w:color w:val="0008FF"/>
            <w:u w:val="single"/>
          </w:rPr>
          <w:t>ISO automated identification standards</w:t>
        </w:r>
      </w:hyperlink>
      <w:r>
        <w:t xml:space="preserve"> ensures complete operational compliance.</w:t>
      </w:r>
    </w:p>
    <w:p>
      <w:pPr>
        <w:pStyle w:val="Heading3"/>
      </w:pPr>
      <w:r>
        <w:t>Best Practices for QR Implementation in Supply Chains</w:t>
      </w:r>
    </w:p>
    <w:p>
      <w:r>
        <w:t>Successful QR adoption requires durable thermal printing, standardized data formats, and direct ERP integration. Applying weatherproof labels prevents scan failures during ocean transit. Combining QR identification with cloud analytics provides complete transparency across global freight operations.</w:t>
      </w:r>
    </w:p>
    <w:p/>
    <w:p>
      <w:pPr>
        <w:jc w:val="center"/>
      </w:pPr>
    </w:p>
    <w:p>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article_img_2.jpg"/>
                    <pic:cNvPicPr/>
                  </pic:nvPicPr>
                  <pic:blipFill>
                    <a:blip r:embed="rId11"/>
                    <a:stretch>
                      <a:fillRect/>
                    </a:stretch>
                  </pic:blipFill>
                  <pic:spPr>
                    <a:xfrm>
                      <a:off x="0" y="0"/>
                      <a:ext cx="4572000" cy="6858000"/>
                    </a:xfrm>
                    <a:prstGeom prst="rect"/>
                  </pic:spPr>
                </pic:pic>
              </a:graphicData>
            </a:graphic>
          </wp:inline>
        </w:drawing>
      </w:r>
    </w:p>
    <w:p>
      <w:pPr>
        <w:jc w:val="center"/>
      </w:pPr>
      <w:r>
        <w:rPr>
          <w:i/>
        </w:rPr>
        <w:t>Figure 3: Global shipping and supply chain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tracking" TargetMode="External"/><Relationship Id="rId10" Type="http://schemas.openxmlformats.org/officeDocument/2006/relationships/hyperlink" Target="https://www.iso.org" TargetMode="Externa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