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Carbon Levy In Shipping The New Cost Layer: Practical Shipping Manua</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Carbon Levy In Shipping The New Cost Layer: Practical Shipping Manua</w:t>
            </w:r>
          </w:p>
        </w:tc>
      </w:tr>
      <w:tr>
        <w:tc>
          <w:tcPr>
            <w:tcW w:type="dxa" w:w="4320"/>
          </w:tcPr>
          <w:p>
            <w:r>
              <w:rPr>
                <w:b/>
              </w:rPr>
              <w:t>Meta Description</w:t>
            </w:r>
          </w:p>
        </w:tc>
        <w:tc>
          <w:tcPr>
            <w:tcW w:type="dxa" w:w="4320"/>
          </w:tcPr>
          <w:p>
            <w:r>
              <w:t>Practical guide on carbon levy in shipping the new cost layer for ocean freight, port operations, customs clearance, and supply chain cost prevention.</w:t>
            </w:r>
          </w:p>
        </w:tc>
      </w:tr>
      <w:tr>
        <w:tc>
          <w:tcPr>
            <w:tcW w:type="dxa" w:w="4320"/>
          </w:tcPr>
          <w:p>
            <w:r>
              <w:rPr>
                <w:b/>
              </w:rPr>
              <w:t>Keywords</w:t>
            </w:r>
          </w:p>
        </w:tc>
        <w:tc>
          <w:tcPr>
            <w:tcW w:type="dxa" w:w="4320"/>
          </w:tcPr>
          <w:p>
            <w:r>
              <w:t>carbon levy in shipping the new cost layer, ocean shipping, freight forwarding, customs clearance, port operations</w:t>
            </w:r>
          </w:p>
        </w:tc>
      </w:tr>
    </w:tbl>
    <w:p/>
    <w:p>
      <w:pPr>
        <w:pStyle w:val="Heading2"/>
      </w:pPr>
      <w:r>
        <w:t>1. Operational Scope and Strategic Context of Carbon Levy In Shipping The New Cost Layer</w:t>
      </w:r>
    </w:p>
    <w:p>
      <w:r>
        <w:t>Managing international ocean freight corridors demands strict operational adherence and continuous monitoring regarding carbon levy in shipping the new cost layer.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carbon levy in shipping the new cost layer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Carbon Levy In Shipping The New Cost Layer</w:t>
      </w:r>
    </w:p>
    <w:p>
      <w:r>
        <w:t>Managing international ocean freight corridors demands strict operational adherence and continuous monitoring regarding carbon levy in shipping the new cost layer.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carbon levy in shipping the new cost layer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carbon levy in shipping the new cost layer.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carbon levy in shipping the new cost layer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carbon levy in shipping the new cost layer.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carbon levy in shipping the new cost layer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carbon levy in shipping the new cost layer.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carbon levy in shipping the new cost layer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carbon levy in shipping the new cost layer.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carbon levy in shipping the new cost layer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carbon levy in shipping the new cost layer.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carbon levy in shipping the new cost layer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carbon levy in shipping the new cost layer.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carbon levy in shipping the new cost layer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