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Print-on-Demand Supply Chains and Niche Market Growth</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AI in Print-on-Demand Supply Chains and Niche Market Growth</w:t>
            </w:r>
          </w:p>
        </w:tc>
      </w:tr>
      <w:tr>
        <w:tc>
          <w:tcPr>
            <w:tcW w:type="dxa" w:w="4320"/>
          </w:tcPr>
          <w:p>
            <w:r>
              <w:rPr>
                <w:b/>
              </w:rPr>
              <w:t>Meta Description</w:t>
            </w:r>
          </w:p>
        </w:tc>
        <w:tc>
          <w:tcPr>
            <w:tcW w:type="dxa" w:w="4320"/>
          </w:tcPr>
          <w:p>
            <w:r>
              <w:t>How artificial intelligence optimizes print-on-demand fulfillment, inventory routing, and profitable niche market expansion.</w:t>
            </w:r>
          </w:p>
        </w:tc>
      </w:tr>
      <w:tr>
        <w:tc>
          <w:tcPr>
            <w:tcW w:type="dxa" w:w="4320"/>
          </w:tcPr>
          <w:p>
            <w:r>
              <w:rPr>
                <w:b/>
              </w:rPr>
              <w:t>Keywords</w:t>
            </w:r>
          </w:p>
        </w:tc>
        <w:tc>
          <w:tcPr>
            <w:tcW w:type="dxa" w:w="4320"/>
          </w:tcPr>
          <w:p>
            <w:r>
              <w:t>AI supply chain, print on demand, inventory optimization, logistics routing, e-commerce fulfillment</w:t>
            </w:r>
          </w:p>
        </w:tc>
      </w:tr>
    </w:tbl>
    <w:p/>
    <w:p>
      <w:pPr>
        <w:pStyle w:val="Heading2"/>
      </w:pPr>
      <w:r>
        <w:t>Predictive Demand Forecasting in On-Demand Manufacturing</w:t>
      </w:r>
    </w:p>
    <w:p>
      <w:r>
        <w:t>Print-on-demand businesses operate on zero-inventory models where speed and localized fulfillment dictate profitability. Artificial intelligence algorithms analyze search trends, regional order volumes, and blank garment stock levels to route manufacturing jobs to the nearest available facility. Smart routing reduces air freight reliance and drastically lowers carbon emissions.</w:t>
      </w:r>
    </w:p>
    <w:p>
      <w:pPr>
        <w:pStyle w:val="Heading2"/>
      </w:pPr>
      <w:r>
        <w:t>Automating Micro-Fulfillment and Shipping Operations</w:t>
      </w:r>
    </w:p>
    <w:p>
      <w:r>
        <w:t>Machine learning models dynamically select optimal courier services based on delivery speeds, seasonal port bottlenecks, and local carrier performance. By linking production nodes directly into logistics platforms such as</w:t>
      </w:r>
      <w:hyperlink r:id="rId9">
        <w:r>
          <w:rPr>
            <w:color w:val="0008FF"/>
            <w:u w:val="single"/>
          </w:rPr>
          <w:t>Navo24 E-Commerce Logistics Platform</w:t>
        </w:r>
      </w:hyperlink>
      <w:r>
        <w:t xml:space="preserve"> allows logistics managers to gain end-to-end visibility across global trade routes. Additionally, following </w:t>
      </w:r>
      <w:hyperlink r:id="rId10">
        <w:r>
          <w:rPr>
            <w:color w:val="0008FF"/>
            <w:u w:val="single"/>
          </w:rPr>
          <w:t>Freight Industry Tech Benchmarks</w:t>
        </w:r>
      </w:hyperlink>
      <w:r>
        <w:t xml:space="preserve"> ensures complete operational compliance.</w:t>
      </w:r>
    </w:p>
    <w:p>
      <w:pPr>
        <w:pStyle w:val="Heading3"/>
      </w:pPr>
      <w:r>
        <w:t>Unlocking Profitable Niches with Automated Market Analysis</w:t>
      </w:r>
    </w:p>
    <w:p>
      <w:r>
        <w:t>AI tools scan global e-commerce trends to identify underserved market niches before competitors react. Combined with agile print fulfillment networks, brands launch specialized product lines instantly without capital risk. Modern logistics automation enables micro-brands to scale global distribution effortlessly.</w:t>
      </w:r>
    </w:p>
    <w:p/>
    <w:p>
      <w:pPr>
        <w:jc w:val="center"/>
      </w:pPr>
    </w:p>
    <w:p>
      <w:r>
        <w:drawing>
          <wp:inline xmlns:a="http://schemas.openxmlformats.org/drawingml/2006/main" xmlns:pic="http://schemas.openxmlformats.org/drawingml/2006/picture">
            <wp:extent cx="4572000" cy="3046095"/>
            <wp:docPr id="1" name="Picture 1"/>
            <wp:cNvGraphicFramePr>
              <a:graphicFrameLocks noChangeAspect="1"/>
            </wp:cNvGraphicFramePr>
            <a:graphic>
              <a:graphicData uri="http://schemas.openxmlformats.org/drawingml/2006/picture">
                <pic:pic>
                  <pic:nvPicPr>
                    <pic:cNvPr id="0" name="article_img_3.jpg"/>
                    <pic:cNvPicPr/>
                  </pic:nvPicPr>
                  <pic:blipFill>
                    <a:blip r:embed="rId11"/>
                    <a:stretch>
                      <a:fillRect/>
                    </a:stretch>
                  </pic:blipFill>
                  <pic:spPr>
                    <a:xfrm>
                      <a:off x="0" y="0"/>
                      <a:ext cx="4572000" cy="3046095"/>
                    </a:xfrm>
                    <a:prstGeom prst="rect"/>
                  </pic:spPr>
                </pic:pic>
              </a:graphicData>
            </a:graphic>
          </wp:inline>
        </w:drawing>
      </w:r>
    </w:p>
    <w:p>
      <w:pPr>
        <w:jc w:val="center"/>
      </w:pPr>
      <w:r>
        <w:rPr>
          <w:i/>
        </w:rPr>
        <w:t>Figure 4: Global shipping and supply chain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freightos.com" TargetMode="Externa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