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Shipping Strategies Leveraging Market Insights And Asset</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Smart Shipping Strategies Leveraging Market Insights And Asset</w:t>
            </w:r>
          </w:p>
        </w:tc>
      </w:tr>
      <w:tr>
        <w:tc>
          <w:tcPr>
            <w:tcW w:type="dxa" w:w="4320"/>
          </w:tcPr>
          <w:p>
            <w:r>
              <w:rPr>
                <w:b/>
              </w:rPr>
              <w:t>Meta Description</w:t>
            </w:r>
          </w:p>
        </w:tc>
        <w:tc>
          <w:tcPr>
            <w:tcW w:type="dxa" w:w="4320"/>
          </w:tcPr>
          <w:p>
            <w:r>
              <w:t>Practical guide on smart shipping strategies leveraging market insights and asset for ocean freight, port operations, customs clearance, and supply chain cost</w:t>
            </w:r>
          </w:p>
        </w:tc>
      </w:tr>
      <w:tr>
        <w:tc>
          <w:tcPr>
            <w:tcW w:type="dxa" w:w="4320"/>
          </w:tcPr>
          <w:p>
            <w:r>
              <w:rPr>
                <w:b/>
              </w:rPr>
              <w:t>Keywords</w:t>
            </w:r>
          </w:p>
        </w:tc>
        <w:tc>
          <w:tcPr>
            <w:tcW w:type="dxa" w:w="4320"/>
          </w:tcPr>
          <w:p>
            <w:r>
              <w:t>smart shipping strategies leveraging market insights and asset, ocean shipping, freight forwarding, customs clearance, port operations</w:t>
            </w:r>
          </w:p>
        </w:tc>
      </w:tr>
    </w:tbl>
    <w:p/>
    <w:p>
      <w:pPr>
        <w:pStyle w:val="Heading2"/>
      </w:pPr>
      <w:r>
        <w:t>1. Operational Scope and Strategic Context of Smart Shipping Strategies Leveraging Market Insights And Asset</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Smart Shipping Strategies Leveraging Market Insights And Asset</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smart shipping strategies leveraging market insights and asset.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smart shipping strategies leveraging market insights and asset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