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Export Ready Packaging Reduces Damage, Delays,: Pillar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Export Ready Packaging Reduces Damage, Delays,: Pillar Manual</w:t>
            </w:r>
          </w:p>
        </w:tc>
      </w:tr>
      <w:tr>
        <w:tc>
          <w:tcPr>
            <w:tcW w:type="dxa" w:w="4320"/>
          </w:tcPr>
          <w:p>
            <w:r>
              <w:rPr>
                <w:b/>
              </w:rPr>
              <w:t>Meta Description</w:t>
            </w:r>
          </w:p>
        </w:tc>
        <w:tc>
          <w:tcPr>
            <w:tcW w:type="dxa" w:w="4320"/>
          </w:tcPr>
          <w:p>
            <w:r>
              <w:t>Deep pillar guide on how export ready packaging reduces damage, delays, in international shipping, detailing port clearance, cost models, risk mitigation, and</w:t>
            </w:r>
          </w:p>
        </w:tc>
      </w:tr>
      <w:tr>
        <w:tc>
          <w:tcPr>
            <w:tcW w:type="dxa" w:w="4320"/>
          </w:tcPr>
          <w:p>
            <w:r>
              <w:rPr>
                <w:b/>
              </w:rPr>
              <w:t>Keywords</w:t>
            </w:r>
          </w:p>
        </w:tc>
        <w:tc>
          <w:tcPr>
            <w:tcW w:type="dxa" w:w="4320"/>
          </w:tcPr>
          <w:p>
            <w:r>
              <w:t>how export ready packaging reduces damage, delays,, maritime logistics, ocean freight, port operations, container shipping, supply chain</w:t>
            </w:r>
          </w:p>
        </w:tc>
      </w:tr>
    </w:tbl>
    <w:p/>
    <w:p>
      <w:pPr>
        <w:pStyle w:val="Heading2"/>
      </w:pPr>
      <w:r>
        <w:t>1. Conceptual Framework and Industry Scope of How Export Ready Packaging Reduces Damage, Delays,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2. Regulatory Compliance and Border Customs Requirements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 xml:space="preserve">Deploying automated compliance engines through </w:t>
      </w:r>
      <w:hyperlink r:id="rId9">
        <w:r>
          <w:rPr>
            <w:color w:val="0008FF"/>
            <w:u w:val="single"/>
          </w:rPr>
          <w:t>Navo24 Tracking Engine</w:t>
        </w:r>
      </w:hyperlink>
      <w:r>
        <w:t xml:space="preserve"> allows trade compliance managers to cross-check entry data against customs databases automatically. Furthermore, consulting guidelines published by </w:t>
      </w:r>
      <w:hyperlink r:id="rId10">
        <w:r>
          <w:rPr>
            <w:color w:val="0008FF"/>
            <w:u w:val="single"/>
          </w:rPr>
          <w:t>World Customs Organization Frameworks</w:t>
        </w:r>
      </w:hyperlink>
      <w:r>
        <w:t xml:space="preserve"> supports international regulatory alignment across border checkpoints.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3. Port Terminal Operations and Equipment Free Time Rules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4. Mathematical Escalation of Demurrage and Storage Penalties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5. Primary Drivers of Container Storage Bottlenecks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6. Step-by-Step Shipper Execution Protocol</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 xml:space="preserve">Deploying automated compliance engines through </w:t>
      </w:r>
      <w:hyperlink r:id="rId9">
        <w:r>
          <w:rPr>
            <w:color w:val="0008FF"/>
            <w:u w:val="single"/>
          </w:rPr>
          <w:t>Navo24 Tracking Engine</w:t>
        </w:r>
      </w:hyperlink>
      <w:r>
        <w:t xml:space="preserve"> allows trade compliance managers to cross-check entry data against customs databases automatically. Furthermore, consulting guidelines published by </w:t>
      </w:r>
      <w:hyperlink r:id="rId10">
        <w:r>
          <w:rPr>
            <w:color w:val="0008FF"/>
            <w:u w:val="single"/>
          </w:rPr>
          <w:t>World Customs Organization Frameworks</w:t>
        </w:r>
      </w:hyperlink>
      <w:r>
        <w:t xml:space="preserve"> supports international regulatory alignment across border checkpoints.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7. Financial Recovery and International Carrier Liability Limits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8. Incoterms Allocation of Transport Risk and Free Time Liability</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9. Insurance Protections and Contingency Risk Management</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10. Advanced Case Scenarios in Major Gateway Ports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11. Strategic Recommendations for Global Supply Chains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12. Future Outlook for Digital Freight Infrastructure</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13. Operational Summary and Next Steps for Trade Managers</w:t>
      </w:r>
    </w:p>
    <w:p>
      <w:r>
        <w:t>In international ocean freight logistics, few operational topics carry as much commercial significance as how export ready packaging reduces damage, delays,. As global trade networks expand across complex multi-modal transport corridors, managing transport execution, customs clearance, and port operations demands systematic oversight across origin facilities, ocean carriers, and destination border checkpoints.</w:t>
      </w:r>
    </w:p>
    <w:p>
      <w: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how export ready packaging reduces damage, delays,.</w:t>
      </w:r>
    </w:p>
    <w:p>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