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Benefits Of Erp In The Shipping Industry: Global Logistics Standard</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Benefits Of Erp In The Shipping Industry: Global Logistics Standard</w:t>
            </w:r>
          </w:p>
        </w:tc>
      </w:tr>
      <w:tr>
        <w:tc>
          <w:tcPr>
            <w:tcW w:type="dxa" w:w="4320"/>
          </w:tcPr>
          <w:p>
            <w:r>
              <w:rPr>
                <w:b/>
              </w:rPr>
              <w:t>Meta Description</w:t>
            </w:r>
          </w:p>
        </w:tc>
        <w:tc>
          <w:tcPr>
            <w:tcW w:type="dxa" w:w="4320"/>
          </w:tcPr>
          <w:p>
            <w:r>
              <w:t>Comprehensive guide on benefits of erp in the shipping industry for international shipping, supply chain optimization, and trade compliance.</w:t>
            </w:r>
          </w:p>
        </w:tc>
      </w:tr>
      <w:tr>
        <w:tc>
          <w:tcPr>
            <w:tcW w:type="dxa" w:w="4320"/>
          </w:tcPr>
          <w:p>
            <w:r>
              <w:rPr>
                <w:b/>
              </w:rPr>
              <w:t>Keywords</w:t>
            </w:r>
          </w:p>
        </w:tc>
        <w:tc>
          <w:tcPr>
            <w:tcW w:type="dxa" w:w="4320"/>
          </w:tcPr>
          <w:p>
            <w:r>
              <w:t>logistics, international shipping, supply chain, trade compliance, freight forwarding</w:t>
            </w:r>
          </w:p>
        </w:tc>
      </w:tr>
    </w:tbl>
    <w:p/>
    <w:p>
      <w:pPr>
        <w:pStyle w:val="Heading2"/>
      </w:pPr>
      <w:r>
        <w:t>1. Strategic Overview and Industry Context</w:t>
      </w:r>
    </w:p>
    <w:p>
      <w:r>
        <w:t>Managing modern supply chains requires clear visibility into benefits of erp in the shipping industry. Every transfer point between shippers, carriers, and port terminals introduces operational variables. Establishing standardized operational protocols ensures cargo protection and eliminates unnecessary delays in global trade networks.</w:t>
      </w:r>
    </w:p>
    <w:p>
      <w:pPr>
        <w:pStyle w:val="Heading2"/>
      </w:pPr>
      <w:r>
        <w:t>2. Operational Implementation and Compliance</w:t>
      </w:r>
    </w:p>
    <w:p>
      <w:r>
        <w:t>Integrating digital tools optimizes workflows for freight forwarders and importers alike. Deploying advanced tracking capabilities through</w:t>
      </w:r>
      <w:hyperlink r:id="rId9">
        <w:r>
          <w:rPr>
            <w:color w:val="0008FF"/>
            <w:u w:val="single"/>
          </w:rPr>
          <w:t>Navo24 Freight Platform</w:t>
        </w:r>
      </w:hyperlink>
      <w:r>
        <w:t xml:space="preserve"> empowers logistics teams to monitor shipments in real time. Adhering to </w:t>
      </w:r>
      <w:hyperlink r:id="rId10">
        <w:r>
          <w:rPr>
            <w:color w:val="0008FF"/>
            <w:u w:val="single"/>
          </w:rPr>
          <w:t>International Logistics Standards</w:t>
        </w:r>
      </w:hyperlink>
      <w:r>
        <w:t xml:space="preserve"> maintains full regulatory compliance across international ocean routes.</w:t>
      </w:r>
    </w:p>
    <w:p>
      <w:pPr>
        <w:pStyle w:val="Heading3"/>
      </w:pPr>
      <w:r>
        <w:t>3. Long-Term Efficiency and Cost Optimization</w:t>
      </w:r>
    </w:p>
    <w:p>
      <w:r>
        <w:t>Automation and structured documentation minimize detention, demurrage, and administrative overhead. Standardizing processes across global trade lanes allows companies to scale operations while preserving profit margins.</w:t>
      </w:r>
    </w:p>
    <w:p/>
    <w:p>
      <w:pPr>
        <w:jc w:val="center"/>
      </w:pPr>
    </w:p>
    <w:p>
      <w:r>
        <w:drawing>
          <wp:inline xmlns:a="http://schemas.openxmlformats.org/drawingml/2006/main" xmlns:pic="http://schemas.openxmlformats.org/drawingml/2006/picture">
            <wp:extent cx="4572000" cy="3051810"/>
            <wp:docPr id="1" name="Picture 1"/>
            <wp:cNvGraphicFramePr>
              <a:graphicFrameLocks noChangeAspect="1"/>
            </wp:cNvGraphicFramePr>
            <a:graphic>
              <a:graphicData uri="http://schemas.openxmlformats.org/drawingml/2006/picture">
                <pic:pic>
                  <pic:nvPicPr>
                    <pic:cNvPr id="0" name="batch_img_4.jpg"/>
                    <pic:cNvPicPr/>
                  </pic:nvPicPr>
                  <pic:blipFill>
                    <a:blip r:embed="rId11"/>
                    <a:stretch>
                      <a:fillRect/>
                    </a:stretch>
                  </pic:blipFill>
                  <pic:spPr>
                    <a:xfrm>
                      <a:off x="0" y="0"/>
                      <a:ext cx="4572000" cy="3051810"/>
                    </a:xfrm>
                    <a:prstGeom prst="rect"/>
                  </pic:spPr>
                </pic:pic>
              </a:graphicData>
            </a:graphic>
          </wp:inline>
        </w:drawing>
      </w:r>
    </w:p>
    <w:p>
      <w:pPr>
        <w:jc w:val="center"/>
      </w:pPr>
      <w:r>
        <w:rPr>
          <w:i/>
        </w:rPr>
        <w:t>Figure 5: Operational workflow in international shipping and freight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