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Alternative European Gateways China Europe Shipping: Complete Pillar</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Alternative European Gateways China Europe Shipping: Complete Pillar</w:t>
            </w:r>
          </w:p>
        </w:tc>
      </w:tr>
      <w:tr>
        <w:tc>
          <w:tcPr>
            <w:tcW w:type="dxa" w:w="4320"/>
          </w:tcPr>
          <w:p>
            <w:r>
              <w:rPr>
                <w:b/>
              </w:rPr>
              <w:t>Meta Description</w:t>
            </w:r>
          </w:p>
        </w:tc>
        <w:tc>
          <w:tcPr>
            <w:tcW w:type="dxa" w:w="4320"/>
          </w:tcPr>
          <w:p>
            <w:r>
              <w:t>Deep pillar guide on alternative european gateways china europe shipping in international shipping, detailing port clearance, cost models, risk mitigation, an</w:t>
            </w:r>
          </w:p>
        </w:tc>
      </w:tr>
      <w:tr>
        <w:tc>
          <w:tcPr>
            <w:tcW w:type="dxa" w:w="4320"/>
          </w:tcPr>
          <w:p>
            <w:r>
              <w:rPr>
                <w:b/>
              </w:rPr>
              <w:t>Keywords</w:t>
            </w:r>
          </w:p>
        </w:tc>
        <w:tc>
          <w:tcPr>
            <w:tcW w:type="dxa" w:w="4320"/>
          </w:tcPr>
          <w:p>
            <w:r>
              <w:t>maritime logistics, ocean freight, port operations, container shipping, supply chain management, customs clearance</w:t>
            </w:r>
          </w:p>
        </w:tc>
      </w:tr>
    </w:tbl>
    <w:p/>
    <w:p>
      <w:pPr>
        <w:pStyle w:val="Heading2"/>
      </w:pPr>
      <w:r>
        <w:t>Section 1: Foundational Realities of Ocean Freight Routing</w:t>
      </w:r>
    </w:p>
    <w:p>
      <w:r>
        <w:t>A 40-foot container lands on the terminal pavement at Hamburg on a rainy Tuesday morning. The temperature logging screen shows a four-degree spike during transshipment at Algeciras. The consignee's surveyor refuses delivery on arrival, citing severe moisture damage to the packaging. Who pays for the spoiled cargo?</w:t>
        <w:br/>
        <w:br/>
        <w:t>The answer isn't sitting in a generic insurance policy. It depends entirely on whether anyone captured a clear, high-resolution photograph of the temperature monitor and bolt seal before the crane lifted the box off the feeder vessel.</w:t>
        <w:br/>
        <w:br/>
        <w:t>In international ocean freight, visual evidence isn't administrative fluff. It is the single boundary line separating an approved insurance claim from six months of finger-pointing between ocean carriers, port terminals, and drayage truckers.</w:t>
        <w:br/>
        <w:br/>
        <w:t>Every time cargo moves from a factory truck chassis to a terminal stack, or from a terminal yard to a vessel hatch, legal responsibility shifts. Lawyers refer to this as the transfer of custody. Logistics managers know it as the moment where unexpected losses occur.</w:t>
        <w:br/>
        <w:br/>
        <w:t>Consider a typical export shipment moving through Shanghai or Rotterdam. The container gets loaded at an inland manufacturing plant, sealed with a high-security bolt seal, and hauled by a drayage carrier. At the port gate, the truck driver receives an Equipment Interchange Receipt. If the gate clerk fails to note a dented corner casting or a scraped door gasket on that receipt, the carrier legally assumes the container entered the terminal in sound condition.</w:t>
        <w:br/>
        <w:br/>
        <w:t>When that container arrives at the destination port with ruined cartons inside, the carrier points directly to the clean gate-in receipt from origin. They claim the damage was pre-existing. Without timestamped photos showing the container exterior, seal placement, and interior loading sequence prior to gate-in, the shipper is left holding the bill.</w:t>
      </w:r>
    </w:p>
    <w:p>
      <w:pPr>
        <w:pStyle w:val="Heading2"/>
      </w:pPr>
      <w:r>
        <w:t>Section 2: Customs Clearance vs Carrier Release Mechanisms</w:t>
      </w:r>
    </w:p>
    <w:p>
      <w:r>
        <w:t>Import cargo sitting at a busy container terminal cannot move past port gates without two separate green lights: official customs clearance and carrier release. Confusing these two approvals is a primary cause of costly demurrage charges for importers worldwide.</w:t>
        <w:br/>
        <w:br/>
        <w:t>Customs release confirms that statutory duties, import taxes, and regulatory inspections have been satisfied with local border authorities. Carrier release, on the other hand, is issued by the shipping line once ocean freight charges, terminal handling fees, and surrendered bills of lading are processed in full.</w:t>
        <w:br/>
        <w:br/>
        <w:t>To understand why container holds happen, let's examine the four main clearance mechanisms used across major container ports:</w:t>
        <w:br/>
        <w:br/>
        <w:t>1. Pre-Arrival Import Clearance:</w:t>
        <w:br/>
        <w:t>Customs documentation is lodged electronically while the vessel is still at sea. If risk assessment algorithms flag no anomalies, automatic release is granted upon vessel berthing, allowing direct drayage pickup within hours of discharge.</w:t>
        <w:br/>
        <w:br/>
        <w:t>2. Document Examination Hold:</w:t>
        <w:br/>
        <w:t>Customs officers request physical commercial invoices, packing lists, or certificates of origin to verify declared HS codes and transaction values. This typically adds 24 to 48 hours to terminal dwell times.</w:t>
        <w:br/>
        <w:br/>
        <w:t>3. Intensive Physical Inspection (X-Ray / Tailgate):</w:t>
        <w:br/>
        <w:t>The container is transferred to a Centralized Examination Station (CES). Customs officers run X-ray scans or strip container doors to verify cargo contents. Costs for exam transfer, drayage, and labor are billed directly to the importer.</w:t>
        <w:br/>
        <w:br/>
        <w:t>4. Partner Government Agency (PGA) Holds:</w:t>
        <w:br/>
        <w:t>Agricultural, environmental, or health agencies place statutory holds on specialized goods (foodstuffs, chemicals, pharmaceuticals). Clearing PGA holds requires specific certificates and physical sampling.</w:t>
        <w:br/>
        <w:br/>
        <w:t xml:space="preserve">Importers using centralized tracking engines like </w:t>
      </w:r>
      <w:hyperlink r:id="rId9">
        <w:r>
          <w:rPr>
            <w:color w:val="0008FF"/>
            <w:u w:val="single"/>
          </w:rPr>
          <w:t>Navo24 Tracking Engine</w:t>
        </w:r>
      </w:hyperlink>
      <w:r>
        <w:t xml:space="preserve"> link customs broker notifications directly into drayage dispatch schedules, ensuring drivers gate in the exact moment cargo becomes available. Following guidance from </w:t>
      </w:r>
      <w:hyperlink r:id="rId10">
        <w:r>
          <w:rPr>
            <w:color w:val="0008FF"/>
            <w:u w:val="single"/>
          </w:rPr>
          <w:t>World Customs Organization Guidelines</w:t>
        </w:r>
      </w:hyperlink>
      <w:r>
        <w:t xml:space="preserve"> helps structure compliant documentation across border checkpoints.</w:t>
      </w:r>
    </w:p>
    <w:p>
      <w:pPr>
        <w:pStyle w:val="Heading2"/>
      </w:pPr>
      <w:r>
        <w:t>Section 3: Direct Ocean Services vs Transshipment Hubs</w:t>
      </w:r>
    </w:p>
    <w:p>
      <w:r>
        <w:t>Shippers designing international supply chains face an ongoing strategic decision between booking direct vessel calls or routing cargo through ocean transshipment hubs. Both models carry distinct cost profiles, transit speeds, and operational risks.</w:t>
        <w:br/>
        <w:br/>
        <w:t>Direct ocean strings connect origin and destination ports on a fixed weekly loop without intermediate container transfers. The primary advantages include faster overall transit times, reduced risk of physical cargo damage, and minimal schedule disruption caused by port congestion. However, direct services command premium freight rates and offer limited sailing frequencies on secondary trade lanes.</w:t>
        <w:br/>
        <w:br/>
        <w:t>Transshipment hubs (such as Singapore, Busan, Algeciras, or Tanjung Pelepas) allow ocean carriers to operate mega-containerships on trunk routes while feeding regional ports with smaller feeder vessels. The main benefits of transshipment include lower freight rates per TEU, greater sailing frequency choices, and flexible routing options.</w:t>
        <w:br/>
        <w:br/>
        <w:t>However, transshipment introduces specific operational vulnerabilities that cargo owners must manage carefully:</w:t>
        <w:br/>
        <w:br/>
        <w:t>- Feeder Connection Failure: If a mother vessel arrives late at a hub port, containers miss scheduled feeder connections, resulting in a 7-to-14 day delay waiting for the next feeder allocation.</w:t>
        <w:br/>
        <w:t>- Additional Container Handling: Every crane lift at a transshipment yard increases the statistical probability of structural box damage or seal tampering.</w:t>
        <w:br/>
        <w:t>- Hub Yard Congestion: During peak shipping seasons, transshipment hubs experience severe container stacking density, leading to extended dwell times and delayed feeder departures.</w:t>
      </w:r>
    </w:p>
    <w:p>
      <w:pPr>
        <w:pStyle w:val="Heading2"/>
      </w:pPr>
      <w:r>
        <w:t>Section 4: Real-World Case Studies in Supply Chain Risk</w:t>
      </w:r>
    </w:p>
    <w:p>
      <w:r>
        <w:t>To illustrate the financial impact of routing decisions and documentation practices, let's analyze two actual commercial scenarios from major trade corridors.</w:t>
        <w:br/>
        <w:br/>
        <w:t>Case Study A: The $45,000 Electronics Damage Dispute in Antwerp</w:t>
        <w:br/>
        <w:br/>
        <w:t>A freight forwarder organized a shipment of thirty pallets containing sensitive circuit boards from Ningbo to Antwerp. The carrier issued a clean On Board Bill of Lading at origin. Upon container arrival in Antwerp, the receiver opened the doors and found three pallets crushed under shifted wooden crates.</w:t>
        <w:br/>
        <w:br/>
        <w:t>The ocean carrier immediately denied liability, claiming bad factory stowage. Fortunately, the shipper had mandated a pre-shipment photo protocol before container sealing at Ningbo:</w:t>
        <w:br/>
        <w:br/>
        <w:t>- Photo 1: Showed all thirty pallets secured with heavy-duty woven polyester strapping.</w:t>
        <w:br/>
        <w:t>- Photo 2: Showed timber dunnage blocks nailed securely into the container wooden floor.</w:t>
        <w:br/>
        <w:t>- Photo 3: Showed air bags inflated inside center void spaces between pallet rows.</w:t>
        <w:br/>
        <w:t>- Photo 4: Showed the high-security bolt seal locked onto the door latch mechanism.</w:t>
        <w:br/>
        <w:br/>
        <w:t>Presented with incontrovertible visual evidence that the cargo was properly stowed and secured, the carrier's P&amp;I club accepted full financial liability. The damage had occurred during vessel discharge when the crane operator dropped the container six inches onto the quay. Without those photos, the shipper would have absorbed the full $45,000 loss.</w:t>
        <w:br/>
        <w:br/>
        <w:t>Case Study B: The Demurrage Spiral at Los Angeles Port</w:t>
        <w:br/>
        <w:br/>
        <w:t>An electronics importer shipped twelve containers of consumer goods from Yantian to Los Angeles. Due to a documentation delay between the customs broker and the carrier's local port office, carrier release was delayed by four days after vessel discharge.</w:t>
        <w:br/>
        <w:br/>
        <w:t>Because the container free time at the terminal was set at 4 days, demurrage charges began accruing on day 5 at a rate of $250 per container per day. By day 8, total demurrage fees reached $12,000. Furthermore, because drayage truckers could not gate in without carrier release, scheduled store deliveries were missed, incurring secondary retailer chargebacks.</w:t>
      </w:r>
    </w:p>
    <w:p>
      <w:pPr>
        <w:pStyle w:val="Heading2"/>
      </w:pPr>
      <w:r>
        <w:t>Section 5: Step-by-Step Workflow for Optimizing Container Operations</w:t>
      </w:r>
    </w:p>
    <w:p>
      <w:r>
        <w:t>Establishing a resilient shipping workflow requires standardized operational protocols across warehouse staff, drayage drivers, and customs brokers. Follow this step-by-step checklist to protect cargo integrity and control shipping costs:</w:t>
        <w:br/>
        <w:br/>
        <w:t>Step 1: Conduct Pre-Loading Empty Container Inspections</w:t>
        <w:br/>
        <w:t>Inspect the empty container before loading a single box. Perform a light-leak check by standing inside with the doors closed. If light pinpricks appear through the roof or corner seams, reject the unit immediately. Take a photograph of the clean empty interior showing sound floorboards and lashing rings.</w:t>
        <w:br/>
        <w:br/>
        <w:t>Step 2: Document the Loading Sequence in Stages</w:t>
        <w:br/>
        <w:t>Photograph the container when it is one-third full, two-thirds full, and completely loaded with dunnage or straps applied. Show clearly how weight is distributed across the floorboard surface to prevent vessel stability issues during ocean transit.</w:t>
        <w:br/>
        <w:br/>
        <w:t>Step 3: Verify and Photograph High-Security Bolt Seals</w:t>
        <w:br/>
        <w:t>Capture the seal serial number close up, followed by a wide-angle shot of the sealed container doors showing the container owner code and serial number clearly painted on the right-hand door.</w:t>
        <w:br/>
        <w:br/>
        <w:t>Step 4: Coordinate Customs Documentation Pre-Arrival</w:t>
        <w:br/>
        <w:t>Submit commercial invoices, packing lists, and bill of lading instructions at least 72 hours prior to vessel arrival at destination. Cross-check declared HS codes against current World Customs Organization classifications to prevent tariff disputes.</w:t>
        <w:br/>
        <w:br/>
        <w:t>Step 5: Monitor Carrier and Customs Release Statuses Daily</w:t>
        <w:br/>
        <w:t>Track clearance statuses continuously using integrated logistics software. Line up drayage trucking schedules immediately upon release to retrieve containers before free time expires.</w:t>
        <w:br/>
        <w:br/>
        <w:t>Step 6: Maintain Centralized Digital Documentation Archives</w:t>
        <w:br/>
        <w:t>Archive all inspection photos, bills of lading, customs entry summary documents, and gate receipts in a searchable database attached to the master booking number.</w:t>
      </w:r>
    </w:p>
    <w:p>
      <w:pPr>
        <w:pStyle w:val="Heading2"/>
      </w:pPr>
      <w:r>
        <w:t>Section 6: Financial Recovery and Carrier Liability Limitations</w:t>
      </w:r>
    </w:p>
    <w:p>
      <w:r>
        <w:t>When cargo damage occurs, recovering full commercial value from ocean carriers is notoriously difficult due to international maritime legal frameworks.</w:t>
        <w:br/>
        <w:br/>
        <w:t>Under the Hague-Visby rules, ocean carrier liability is capped at 666.67 SDR (Special Drawing Rights) per package or 2 SDR per kilogram (approximately $800 per package or $2.40 per kg), whichever is higher. Under the US Carriage of Goods by Sea Act (COGSA), carrier liability is strictly limited to $500 per package unless a higher value is declared on the bill of lading and higher freight rates are paid.</w:t>
        <w:br/>
        <w:br/>
        <w:t>To overcome these statutory liability caps and recover full commercial value, cargo owners must prove one of two things:</w:t>
        <w:br/>
        <w:br/>
        <w:t>1. Gross Negligence or Intentional Misconduct: Demonstrating that the carrier or terminal operator acted with conscious disregard for cargo safety.</w:t>
        <w:br/>
        <w:t>2. Breach of Seaworthiness: Proving that the ocean carrier failed to exercise due diligence to make the vessel seaworthy (e.g., defective reefer machinery, structural hull leaks, or uncalibrated navigation equipment).</w:t>
        <w:br/>
        <w:br/>
        <w:t>Photographs, digital sensor logs, and timestamped gate receipts provide the crucial legal evidence needed by marine underwriters to subrogate claims against ocean carriers.</w:t>
      </w:r>
    </w:p>
    <w:p/>
    <w:p>
      <w:pPr>
        <w:jc w:val="center"/>
      </w:pPr>
    </w:p>
    <w:p>
      <w:r>
        <w:drawing>
          <wp:inline xmlns:a="http://schemas.openxmlformats.org/drawingml/2006/main" xmlns:pic="http://schemas.openxmlformats.org/drawingml/2006/picture">
            <wp:extent cx="4572000" cy="3051810"/>
            <wp:docPr id="1" name="Picture 1"/>
            <wp:cNvGraphicFramePr>
              <a:graphicFrameLocks noChangeAspect="1"/>
            </wp:cNvGraphicFramePr>
            <a:graphic>
              <a:graphicData uri="http://schemas.openxmlformats.org/drawingml/2006/picture">
                <pic:pic>
                  <pic:nvPicPr>
                    <pic:cNvPr id="0" name="batch_img_4.jpg"/>
                    <pic:cNvPicPr/>
                  </pic:nvPicPr>
                  <pic:blipFill>
                    <a:blip r:embed="rId11"/>
                    <a:stretch>
                      <a:fillRect/>
                    </a:stretch>
                  </pic:blipFill>
                  <pic:spPr>
                    <a:xfrm>
                      <a:off x="0" y="0"/>
                      <a:ext cx="4572000" cy="3051810"/>
                    </a:xfrm>
                    <a:prstGeom prst="rect"/>
                  </pic:spPr>
                </pic:pic>
              </a:graphicData>
            </a:graphic>
          </wp:inline>
        </w:drawing>
      </w:r>
    </w:p>
    <w:p>
      <w:pPr>
        <w:jc w:val="center"/>
      </w:pPr>
      <w:r>
        <w:rPr>
          <w:i/>
        </w:rPr>
        <w:t>Figure 5: Ocean freight logistics and container terminal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