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 Service vs Transshipment: Choosing Maritime Routes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Direct Service vs Transshipment: Choosing Maritime Routes</w:t>
            </w:r>
          </w:p>
        </w:tc>
      </w:tr>
      <w:tr>
        <w:tc>
          <w:tcPr>
            <w:tcW w:type="dxa" w:w="4320"/>
          </w:tcPr>
          <w:p>
            <w:r>
              <w:rPr>
                <w:b/>
              </w:rPr>
              <w:t>Meta Description</w:t>
            </w:r>
          </w:p>
        </w:tc>
        <w:tc>
          <w:tcPr>
            <w:tcW w:type="dxa" w:w="4320"/>
          </w:tcPr>
          <w:p>
            <w:r>
              <w:t>Compare direct ocean shipping with transshipment routes regarding freight rates, transit times, and risk management.</w:t>
            </w:r>
          </w:p>
        </w:tc>
      </w:tr>
      <w:tr>
        <w:tc>
          <w:tcPr>
            <w:tcW w:type="dxa" w:w="4320"/>
          </w:tcPr>
          <w:p>
            <w:r>
              <w:rPr>
                <w:b/>
              </w:rPr>
              <w:t>Keywords</w:t>
            </w:r>
          </w:p>
        </w:tc>
        <w:tc>
          <w:tcPr>
            <w:tcW w:type="dxa" w:w="4320"/>
          </w:tcPr>
          <w:p>
            <w:r>
              <w:t>direct shipping, transshipment port, ocean freight, vessel routing, transit time, freight cost</w:t>
            </w:r>
          </w:p>
        </w:tc>
      </w:tr>
    </w:tbl>
    <w:p/>
    <w:p>
      <w:pPr>
        <w:pStyle w:val="Heading2"/>
      </w:pPr>
      <w:r>
        <w:t>Evaluating Direct Ocean Routes versus Hub Transshipment</w:t>
      </w:r>
    </w:p>
    <w:p>
      <w:r>
        <w:t>Shippers choosing ocean freight schedules face a fundamental trade-off between direct point-to-point service and intermediate transshipment hubs. Direct calls offer faster transit times and lower cargo handling risk because the container stays on one vessel. However, direct strings often command higher freight rates and restricted sailing frequencies.</w:t>
      </w:r>
    </w:p>
    <w:p>
      <w:pPr>
        <w:pStyle w:val="Heading2"/>
      </w:pPr>
      <w:r>
        <w:t>When Transshipment Hubs Offer Strategic Freight Advantages</w:t>
      </w:r>
    </w:p>
    <w:p>
      <w:r>
        <w:t>Global ocean carriers utilize mega-hub ports like Singapore, Busan, or Rotterdam to consolidate cargo from feeder vessels onto ultra-large container ships. Transshipment provides broader port connectivity and significant freight cost savings for non-urgent shipments. Analyzing route performance through platforms like</w:t>
      </w:r>
      <w:hyperlink r:id="rId9">
        <w:r>
          <w:rPr>
            <w:color w:val="0008FF"/>
            <w:u w:val="single"/>
          </w:rPr>
          <w:t>Navo24 Route Optimization Engine</w:t>
        </w:r>
      </w:hyperlink>
      <w:r>
        <w:t xml:space="preserve"> allows logistics managers to gain end-to-end visibility across global trade routes. Additionally, following </w:t>
      </w:r>
      <w:hyperlink r:id="rId10">
        <w:r>
          <w:rPr>
            <w:color w:val="0008FF"/>
            <w:u w:val="single"/>
          </w:rPr>
          <w:t>Maritime Logistics Data Reference</w:t>
        </w:r>
      </w:hyperlink>
      <w:r>
        <w:t xml:space="preserve"> ensures complete operational compliance.</w:t>
      </w:r>
    </w:p>
    <w:p>
      <w:pPr>
        <w:pStyle w:val="Heading3"/>
      </w:pPr>
      <w:r>
        <w:t>Risk Mitigation Strategies for Transshipment Cargo</w:t>
      </w:r>
    </w:p>
    <w:p>
      <w:r>
        <w:t>Transshipment introduces potential risks, including missed feeder connections, port congestion, and extra container handling. Shippers can mitigate delays by maintaining buffer inventory, selecting carriers with reliable hub operations, and monitoring real-time vessel AIS locations throughout the voyage.</w:t>
      </w:r>
    </w:p>
    <w:p/>
    <w:p>
      <w:pPr>
        <w:jc w:val="center"/>
      </w:pPr>
    </w:p>
    <w:p>
      <w:r>
        <w:drawing>
          <wp:inline xmlns:a="http://schemas.openxmlformats.org/drawingml/2006/main" xmlns:pic="http://schemas.openxmlformats.org/drawingml/2006/picture">
            <wp:extent cx="4572000" cy="3051810"/>
            <wp:docPr id="1" name="Picture 1"/>
            <wp:cNvGraphicFramePr>
              <a:graphicFrameLocks noChangeAspect="1"/>
            </wp:cNvGraphicFramePr>
            <a:graphic>
              <a:graphicData uri="http://schemas.openxmlformats.org/drawingml/2006/picture">
                <pic:pic>
                  <pic:nvPicPr>
                    <pic:cNvPr id="0" name="article_img_4.jpg"/>
                    <pic:cNvPicPr/>
                  </pic:nvPicPr>
                  <pic:blipFill>
                    <a:blip r:embed="rId11"/>
                    <a:stretch>
                      <a:fillRect/>
                    </a:stretch>
                  </pic:blipFill>
                  <pic:spPr>
                    <a:xfrm>
                      <a:off x="0" y="0"/>
                      <a:ext cx="4572000" cy="3051810"/>
                    </a:xfrm>
                    <a:prstGeom prst="rect"/>
                  </pic:spPr>
                </pic:pic>
              </a:graphicData>
            </a:graphic>
          </wp:inline>
        </w:drawing>
      </w:r>
    </w:p>
    <w:p>
      <w:pPr>
        <w:jc w:val="center"/>
      </w:pPr>
      <w:r>
        <w:rPr>
          <w:i/>
        </w:rPr>
        <w:t>Figure 5: Global shipping and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rates" TargetMode="External"/><Relationship Id="rId10" Type="http://schemas.openxmlformats.org/officeDocument/2006/relationships/hyperlink" Target="https://en.wikipedia.org/wiki/Transshipment"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