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Protect Margins Amid Global Supply Chain</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How To Protect Margins Amid Global Supply Chain</w:t>
            </w:r>
          </w:p>
        </w:tc>
      </w:tr>
      <w:tr>
        <w:tc>
          <w:tcPr>
            <w:tcW w:type="dxa" w:w="4320"/>
          </w:tcPr>
          <w:p>
            <w:r>
              <w:rPr>
                <w:b/>
              </w:rPr>
              <w:t>Meta Description</w:t>
            </w:r>
          </w:p>
        </w:tc>
        <w:tc>
          <w:tcPr>
            <w:tcW w:type="dxa" w:w="4320"/>
          </w:tcPr>
          <w:p>
            <w:r>
              <w:t>Comprehensive guide on how to protect margins amid global supply chain for international ocean freight, port clearance, customs compliance, and supply chain m</w:t>
            </w:r>
          </w:p>
        </w:tc>
      </w:tr>
      <w:tr>
        <w:tc>
          <w:tcPr>
            <w:tcW w:type="dxa" w:w="4320"/>
          </w:tcPr>
          <w:p>
            <w:r>
              <w:rPr>
                <w:b/>
              </w:rPr>
              <w:t>Keywords</w:t>
            </w:r>
          </w:p>
        </w:tc>
        <w:tc>
          <w:tcPr>
            <w:tcW w:type="dxa" w:w="4320"/>
          </w:tcPr>
          <w:p>
            <w:r>
              <w:t>how to protect margins amid global supply chain, ocean shipping, freight forwarding, customs clearance, port operations</w:t>
            </w:r>
          </w:p>
        </w:tc>
      </w:tr>
    </w:tbl>
    <w:p/>
    <w:p>
      <w:pPr>
        <w:pStyle w:val="Heading2"/>
      </w:pPr>
      <w:r>
        <w:t>1. Conceptual Framework and Industry Scope of How To Protect Margins Amid Global Supply Chain</w:t>
      </w:r>
    </w:p>
    <w:p>
      <w:r>
        <w:t>Managing international ocean freight corridors demands strict operational adherence and continuous monitoring across every transport leg regarding how to protect margins amid global supply chain.</w:t>
        <w:br/>
        <w:br/>
        <w:t>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br/>
        <w:br/>
        <w:t>In ocean transport corridor management, proactive logistics planning requires BCOs and freight forwarders to continuously verify vessel schedule reliability, port terminal dwell times, and drayage capacity. Implementing electronic tracking tools and early documentation clearance workflows prevents unnecessary demurrage penalties and builds resilient global trade networks.</w:t>
      </w:r>
    </w:p>
    <w:p>
      <w:pPr>
        <w:pStyle w:val="Heading2"/>
      </w:pPr>
      <w:r>
        <w:t>2. Regulatory Compliance and Border Customs Requirements</w:t>
      </w:r>
    </w:p>
    <w:p>
      <w:r>
        <w:t>Customs border enforcement authorities enforce strict statutory requirements regarding cargo documentation, including commercial invoices, packing lists, and transport bills of lading. Ensuring accurate Harmonized System tariff classifications prevents customs holds and unexpected duty adjustments at border entry checkpoints for how to protect margins amid global supply chain.</w:t>
        <w:br/>
        <w:br/>
        <w:t>Submitting inaccurate commercial invoices, incorrect packing list weights, or misdeclared HS codes triggers intensive physical examination holds at Centralized Examination Stations. Importers and freight forwarders can streamline documentation workflows by digitizing data entry across trade platforms.</w:t>
        <w:br/>
        <w:br/>
        <w:t>Establishing centralized digital documentation archives ensures immediate access to entry summary records, commercial invoices, and marine bills of lading whenever border authorities conduct post-clearance audits.</w:t>
        <w:br/>
        <w:br/>
        <w:t>In ocean transport corridor management, proactive logistics planning requires BCOs and freight forwarders to continuously verify vessel schedule reliability, port terminal dwell times, and drayage capacity. Implementing electronic tracking tools and early documentation clearance workflows prevents unnecessary demurrage penalties and builds resilient global trade networks.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w:t>
      </w:r>
    </w:p>
    <w:p>
      <w:pPr>
        <w:pStyle w:val="Heading2"/>
      </w:pPr>
      <w:r>
        <w:t>3. Port Terminal Operations and Equipment Free Time Rules</w:t>
      </w:r>
    </w:p>
    <w:p>
      <w:r>
        <w:t>Marine container terminals operate as critical bottlenecks in international ocean supply chains. Terminal operators establish free time frameworks to incentivize rapid container turnover and prevent yard stacking congestion.</w:t>
        <w:br/>
        <w:br/>
        <w:t>Understanding demurrage, detention, and terminal storage fee structures allows shippers to negotiate extended free time allowances during annual ocean carrier contract renewals. When containers remain held inside port yards past allocated free time windows, daily demurrage penalties accrue on aggressive sliding scale tariffs.</w:t>
        <w:br/>
        <w:br/>
        <w:t>To prevent terminal congestion and drayage delays, logistics teams must align customs clearance approvals with trucker dispatch schedules.</w:t>
        <w:br/>
        <w:br/>
        <w:t>In ocean transport corridor management, proactive logistics planning requires BCOs and freight forwarders to continuously verify vessel schedule reliability, port terminal dwell times, and drayage capacity. Implementing electronic tracking tools and early documentation clearance workflows prevents unnecessary demurrage penalties and builds resilient global trade networks.</w:t>
      </w:r>
    </w:p>
    <w:p>
      <w:pPr>
        <w:pStyle w:val="Heading2"/>
      </w:pPr>
      <w:r>
        <w:t>4. Mathematical Escalation of Demurrage and Storage Penalties</w:t>
      </w:r>
    </w:p>
    <w:p>
      <w:r>
        <w:t>Demurrage and detention fees are structured using aggressive tiered sliding scales where daily charges increase dramatically over time. For example, standard dry container demurrage rates may begin at $200 per day for days 5 to 8, escalating to $350 per day for days 9 to 12, and exceeding $500 per day thereafter.</w:t>
        <w:br/>
        <w:br/>
        <w:t>Under this sliding scale structure, a shipment of ten containers delayed for two weeks beyond free time accrues over $30,000 in demurrage penalties alone. Managing container release milestones is vital for cost control.</w:t>
        <w:br/>
        <w:br/>
        <w:t>When secondary detention fees for holding container equipment past free time allowances are added, total penalty charges can quickly exceed the commercial value of the underlying goods.</w:t>
        <w:br/>
        <w:br/>
        <w:t>In ocean transport corridor management, proactive logistics planning requires BCOs and freight forwarders to continuously verify vessel schedule reliability, port terminal dwell times, and drayage capacity. Implementing electronic tracking tools and early documentation clearance workflows prevents unnecessary demurrage penalties and builds resilient global trade networks.</w:t>
      </w:r>
    </w:p>
    <w:p>
      <w:pPr>
        <w:pStyle w:val="Heading2"/>
      </w:pPr>
      <w:r>
        <w:t>5. Primary Drivers of Container Storage Bottlenecks</w:t>
      </w:r>
    </w:p>
    <w:p>
      <w:r>
        <w:t>Container penalty charges typically result from compounding bottlenecks across customs holds, port congestion, chassis shortages, and documentation transmission delays. Identifying bottleneck causes allows logistics teams to apply targeted preventive measures regarding how to protect margins amid global supply chain.</w:t>
        <w:br/>
        <w:br/>
        <w:t>During peak shipping seasons or vessel congestion periods, marine terminals experience high container yard stacking densities. Terminal operators implement mandatory truck appointment systems to regulate gate traffic. When drayage truckers cannot secure appointment slots before free time expires, importers incur demurrage charges despite having drivers ready to retrieve cargo.</w:t>
        <w:br/>
        <w:br/>
        <w:t>In ocean transport corridor management, proactive logistics planning requires BCOs and freight forwarders to continuously verify vessel schedule reliability, port terminal dwell times, and drayage capacity. Implementing electronic tracking tools and early documentation clearance workflows prevents unnecessary demurrage penalties and builds resilient global trade networks.</w:t>
      </w:r>
    </w:p>
    <w:p>
      <w:pPr>
        <w:pStyle w:val="Heading2"/>
      </w:pPr>
      <w:r>
        <w:t>6. Step-by-Step Shipper Execution Protocol</w:t>
      </w:r>
    </w:p>
    <w:p>
      <w:r>
        <w:t>To optimize shipping performance related to how to protect margins amid global supply chain, logistics managers should enforce a four-step execution checklist:</w:t>
        <w:br/>
        <w:br/>
        <w:t>Step 1: Audit initial shipping instructions and vendor documentation at least 72 hours prior to origin container gate-in.</w:t>
        <w:br/>
        <w:br/>
        <w:t>Step 2: Verify specific commodity descriptions, tariff classifications, and destination regulatory requirements with local customs brokers.</w:t>
        <w:br/>
        <w:br/>
        <w:t>Step 3: Monitor container release milestones continuously to prevent demurrage and detention penalty fees at marine terminals.</w:t>
        <w:br/>
        <w:br/>
        <w:t>Step 4: Maintain audit-ready digital archives of all entry summary documents, bills of lading, and payment receipts.</w:t>
        <w:br/>
        <w:br/>
        <w:t>In ocean transport corridor management, proactive logistics planning requires BCOs and freight forwarders to continuously verify vessel schedule reliability, port terminal dwell times, and drayage capacity. Implementing electronic tracking tools and early documentation clearance workflows prevents unnecessary demurrage penalties and builds resilient global trade networks.</w:t>
      </w:r>
    </w:p>
    <w:p>
      <w:r>
        <w:t xml:space="preserve">Consulting official </w:t>
      </w:r>
      <w:hyperlink r:id="rId10">
        <w:r>
          <w:rPr>
            <w:color w:val="0008FF"/>
            <w:u w:val="single"/>
          </w:rPr>
          <w:t>World Customs Organization Frameworks</w:t>
        </w:r>
      </w:hyperlink>
      <w:r>
        <w:t xml:space="preserve"> ensures complete regulatory compliance during import entry clearance.</w:t>
      </w:r>
    </w:p>
    <w:p>
      <w:pPr>
        <w:pStyle w:val="Heading2"/>
      </w:pPr>
      <w:r>
        <w:t>7. Financial Recovery and International Carrier Liability Limits</w:t>
      </w:r>
    </w:p>
    <w:p>
      <w:r>
        <w:t>When cargo damage or loss occurs during ocean transit, recovering commercial value from ocean carriers is governed by international maritime legal conventions. Under Hague-Visby rules, carrier liability is limited to 666.67 SDR per package unless higher commercial values are declared on bills of lading.</w:t>
        <w:br/>
        <w:br/>
        <w:t>To overcome statutory liability limits and recover full commercial value, cargo owners must prove gross carrier negligence or unseaworthiness. Maintaining timestamped digital gate receipts, inspection records, and transport logs provides essential evidence for marine underwriters during insurance subrogation claims.</w:t>
        <w:br/>
        <w:br/>
        <w:t>In ocean transport corridor management, proactive logistics planning requires BCOs and freight forwarders to continuously verify vessel schedule reliability, port terminal dwell times, and drayage capacity. Implementing electronic tracking tools and early documentation clearance workflows prevents unnecessary demurrage penalties and builds resilient global trade networks.</w:t>
      </w:r>
    </w:p>
    <w:p>
      <w:pPr>
        <w:pStyle w:val="Heading2"/>
      </w:pPr>
      <w:r>
        <w:t>8. Incoterms Allocation of Transport Risk and Free Time Liability</w:t>
      </w:r>
    </w:p>
    <w:p>
      <w:r>
        <w:t>Selecting appropriate Incoterms in international sales contracts determines which commercial party assumes transport cost obligations and risk. In DDP transactions, any demurrage accrued at destination port gates falls directly on the seller.</w:t>
        <w:br/>
        <w:br/>
        <w:t>Under Ex Works or Free Carrier terms, the buyer assumes all transport risk and freight payment obligations from origin onward. If customs delays or drayage shortages occur at destination port gates, the buyer bears full financial responsibility for all demurrage fees.</w:t>
        <w:br/>
        <w:br/>
        <w:t>In ocean transport corridor management, proactive logistics planning requires BCOs and freight forwarders to continuously verify vessel schedule reliability, port terminal dwell times, and drayage capacity. Implementing electronic tracking tools and early documentation clearance workflows prevents unnecessary demurrage penalties and builds resilient global trade networks.</w:t>
      </w:r>
    </w:p>
    <w:p>
      <w:pPr>
        <w:pStyle w:val="Heading2"/>
      </w:pPr>
      <w:r>
        <w:t>9. Insurance Protections and Contingency Risk Management</w:t>
      </w:r>
    </w:p>
    <w:p>
      <w:r>
        <w:t>Standard marine cargo insurance policies typically exclude demurrage and storage penalties. Specialized trade delay insurance riders provide contingency indemnity during catastrophic events such as port labor strikes or severe weather closures.</w:t>
        <w:br/>
        <w:br/>
        <w:t>Logistics managers should review cargo insurance endorsements annually with marine underwriters to clarify coverage parameters and ensure contingency risk protocols align with operational shipping corridors.</w:t>
        <w:br/>
        <w:br/>
        <w:t>In ocean transport corridor management, proactive logistics planning requires BCOs and freight forwarders to continuously verify vessel schedule reliability, port terminal dwell times, and drayage capacity. Implementing electronic tracking tools and early documentation clearance workflows prevents unnecessary demurrage penalties and builds resilient global trade networks.</w:t>
      </w:r>
    </w:p>
    <w:p>
      <w:pPr>
        <w:pStyle w:val="Heading2"/>
      </w:pPr>
      <w:r>
        <w:t>10. Advanced Case Scenarios in Major Gateway Ports</w:t>
      </w:r>
    </w:p>
    <w:p>
      <w:r>
        <w:t>Examining actual commercial shipping scenarios in Rotterdam, Antwerp, and Los Angeles demonstrates how pre-clearing import entries and maintaining real-time tracking visibility prevents multi-thousand dollar demurrage charges.</w:t>
        <w:br/>
        <w:br/>
        <w:t>By establishing automated alerts that notify dispatchers the exact moment cargo becomes available, logistics managers instruct draymen to gate in immediately, avoiding thousands of dollars in port storage fees.</w:t>
        <w:br/>
        <w:br/>
        <w:t>In ocean transport corridor management, proactive logistics planning requires BCOs and freight forwarders to continuously verify vessel schedule reliability, port terminal dwell times, and drayage capacity. Implementing electronic tracking tools and early documentation clearance workflows prevents unnecessary demurrage penalties and builds resilient global trade networks.</w:t>
      </w:r>
    </w:p>
    <w:p>
      <w:pPr>
        <w:pStyle w:val="Heading2"/>
      </w:pPr>
      <w:r>
        <w:t>11. Strategic Recommendations for Global Supply Chains</w:t>
      </w:r>
    </w:p>
    <w:p>
      <w:r>
        <w:t>Eliminating transport bottlenecks requires shifting from reactive emergency troubleshooting to proactive supply chain management. Shippers should audit drayage partners regularly and adopt electronic sea waybills.</w:t>
        <w:br/>
        <w:br/>
        <w:t>Trading companies that analyze historical shipping data, diversify port gateway allocations, and maintain multi-carrier relationships navigate market disruptions far more effectively than those relying on single-provider arrangements.</w:t>
        <w:br/>
        <w:br/>
        <w:t>In ocean transport corridor management, proactive logistics planning requires BCOs and freight forwarders to continuously verify vessel schedule reliability, port terminal dwell times, and drayage capacity. Implementing electronic tracking tools and early documentation clearance workflows prevents unnecessary demurrage penalties and builds resilient global trade networks.</w:t>
      </w:r>
    </w:p>
    <w:p>
      <w:pPr>
        <w:pStyle w:val="Heading2"/>
      </w:pPr>
      <w:r>
        <w:t>12. Future Outlook for Digital Freight Infrastructure</w:t>
      </w:r>
    </w:p>
    <w:p>
      <w:r>
        <w:t>Advancements in API integrations, automated customs clearance, and predictive AIS tracking continue to transform ocean freight execution, enabling shippers to maintain complete transparency across global trade lanes.</w:t>
        <w:br/>
        <w:br/>
        <w:t>Combining early booking discipline, accurate volume forecasting, automated tracking visibility, and robust drayage coordination empowers international shippers to protect profit margins and eliminate unnecessary port penalties.</w:t>
        <w:br/>
        <w:br/>
        <w:t>In ocean transport corridor management, proactive logistics planning requires BCOs and freight forwarders to continuously verify vessel schedule reliability, port terminal dwell times, and drayage capacity. Implementing electronic tracking tools and early documentation clearance workflows prevents unnecessary demurrage penalties and builds resilient global trade networks.</w:t>
      </w:r>
    </w:p>
    <w:p>
      <w:pPr>
        <w:pStyle w:val="Heading2"/>
      </w:pPr>
      <w:r>
        <w:t>13. Advanced Carrier Contracting and Volume Allocation</w:t>
      </w:r>
    </w:p>
    <w:p>
      <w:r>
        <w:t>Negotiating extended free time packages during annual ocean carrier contract renewals provides essential buffer protection against unexpected destination port congestion.</w:t>
        <w:br/>
        <w:br/>
        <w:t>During annual contract negotiations, request extended free time packages (such as 7 to 10 days combined demurrage and detention) based on overall annual shipping volume commitments.</w:t>
        <w:br/>
        <w:br/>
        <w:t>In ocean transport corridor management, proactive logistics planning requires BCOs and freight forwarders to continuously verify vessel schedule reliability, port terminal dwell times, and drayage capacity. Implementing electronic tracking tools and early documentation clearance workflows prevents unnecessary demurrage penalties and builds resilient global trade networks.</w:t>
      </w:r>
    </w:p>
    <w:p>
      <w:pPr>
        <w:pStyle w:val="Heading2"/>
      </w:pPr>
      <w:r>
        <w:t>14. Final Operational Summary and Risk Mitigation Strategy</w:t>
      </w:r>
    </w:p>
    <w:p>
      <w:r>
        <w:t>By combining negotiated extended free time, automated tracking visibility, disciplined customs pre-clearance, and robust drayage coordination, international trading companies safeguard operating margins and build resilient logistics networks.</w:t>
        <w:br/>
        <w:br/>
        <w:t>Proactive freight execution requires establishing clear communication channels between Beneficial Cargo Owners, freight forwarders, customs brokers, and drayage truckers.</w:t>
        <w:br/>
        <w:br/>
        <w:t>In ocean transport corridor management, proactive logistics planning requires BCOs and freight forwarders to continuously verify vessel schedule reliability, port terminal dwell times, and drayage capacity. Implementing electronic tracking tools and early documentation clearance workflows prevents unnecessary demurrage penalties and builds resilient global trade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