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Speed And Protection Matter In Modern Freight: Practical Shippin</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Why Speed And Protection Matter In Modern Freight: Practical Shippin</w:t>
            </w:r>
          </w:p>
        </w:tc>
      </w:tr>
      <w:tr>
        <w:tc>
          <w:tcPr>
            <w:tcW w:type="dxa" w:w="4320"/>
          </w:tcPr>
          <w:p>
            <w:r>
              <w:rPr>
                <w:b/>
              </w:rPr>
              <w:t>Meta Description</w:t>
            </w:r>
          </w:p>
        </w:tc>
        <w:tc>
          <w:tcPr>
            <w:tcW w:type="dxa" w:w="4320"/>
          </w:tcPr>
          <w:p>
            <w:r>
              <w:t>Practical guide on why speed and protection matter in modern freight for ocean freight, port operations, customs clearance, and supply chain cost prevention.</w:t>
            </w:r>
          </w:p>
        </w:tc>
      </w:tr>
      <w:tr>
        <w:tc>
          <w:tcPr>
            <w:tcW w:type="dxa" w:w="4320"/>
          </w:tcPr>
          <w:p>
            <w:r>
              <w:rPr>
                <w:b/>
              </w:rPr>
              <w:t>Keywords</w:t>
            </w:r>
          </w:p>
        </w:tc>
        <w:tc>
          <w:tcPr>
            <w:tcW w:type="dxa" w:w="4320"/>
          </w:tcPr>
          <w:p>
            <w:r>
              <w:t>why speed and protection matter in modern freight, ocean shipping, freight forwarding, customs clearance, port operations</w:t>
            </w:r>
          </w:p>
        </w:tc>
      </w:tr>
    </w:tbl>
    <w:p/>
    <w:p>
      <w:pPr>
        <w:pStyle w:val="Heading2"/>
      </w:pPr>
      <w:r>
        <w:t>1. Operational Framework and Market Scope of Why Speed And Protection Matter In Modern Freight</w:t>
      </w:r>
    </w:p>
    <w:p>
      <w:r>
        <w:t>Managing international ocean freight corridors demands strict operational adherence and continuous monitoring regarding why speed and protection matter in modern freight.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pPr>
        <w:pStyle w:val="Heading2"/>
      </w:pPr>
      <w:r>
        <w:t>2. Core Regulatory Compliance and Documentation Rules</w:t>
      </w:r>
    </w:p>
    <w:p>
      <w:r>
        <w:t>Commercial success in international shipping depends on accurate documentation and regulatory alignment. Key operational priorities for why speed and protection matter in modern freight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pPr>
        <w:pStyle w:val="Heading2"/>
      </w:pPr>
      <w:r>
        <w:t>3. Port Terminal Operations and Transport Discrepancy Prevention</w:t>
      </w:r>
    </w:p>
    <w:p>
      <w:r>
        <w:t>Marine container terminals function as high-volume operational bottlenecks where delays generate immediate financial charges. When containers remain held inside port yards past allocated free time windows, daily demurrage penalties accrue on sliding rate tariffs.</w:t>
        <w:br/>
        <w:br/>
        <w:t>To prevent terminal congestion and drayage delays, logistics teams must align customs clearance approvals with trucker dispatch schedules. Pre-clearing import entries 72 hours prior to vessel berthing guarantees immediate carrier release upon container discharge.</w:t>
      </w:r>
    </w:p>
    <w:p>
      <w:pPr>
        <w:pStyle w:val="Heading2"/>
      </w:pPr>
      <w:r>
        <w:t>4. Detailed Step-by-Step Execution Protocol for Shippers</w:t>
      </w:r>
    </w:p>
    <w:p>
      <w:r>
        <w:t>To optimize shipping performance related to why speed and protection matter in modern freight, logistics managers should enforce the following execution checklist:</w:t>
        <w:br/>
        <w:br/>
        <w:t>Step 1: Audit initial shipping instructions and vendor documentation at least 72 hours prior to origin container gate-in.</w:t>
        <w:br/>
        <w:br/>
        <w:t>Step 2: Verify specific commodity descriptions, tariff classifications, and destination regulatory requirements with local customs brokers.</w:t>
        <w:br/>
        <w:br/>
        <w:t>Step 3: Monitor container release milestones continuously to prevent demurrage and detention penalty fees at marine terminals.</w:t>
        <w:br/>
        <w:br/>
        <w:t>Step 4: Maintain audit-ready digital archives of all entry summary documents, bills of lading, and payment receipts.</w:t>
      </w:r>
    </w:p>
    <w:p>
      <w:pPr>
        <w:pStyle w:val="Heading2"/>
      </w:pPr>
      <w:r>
        <w:t>5. Financial Risk Mitigation and Detention Cost Control</w:t>
      </w:r>
    </w:p>
    <w:p>
      <w:r>
        <w:t>Controlling freight expenditure extends beyond negotiating base ocean rates. When documentation discrepancies or customs holds occur at destination ocean terminals, penalty charges accrue rapidly on sliding scale tariffs.</w:t>
        <w:br/>
        <w:br/>
        <w:t>Demurrage charges imposed by ocean carriers and terminal storage fees assessed by port operators can exceed $200 to $400 per container per day. In addition, secondary detention fees for holding container equipment past free time allowances further erode commercial margins.</w:t>
        <w:br/>
        <w:br/>
        <w:t>Implementing pre-clearance customs protocols, pre-booking drayage trucking capacity, and maintaining direct communication with destination port authorities eliminates avoidable storage charges and protects trading profitability.</w:t>
      </w:r>
    </w:p>
    <w:p>
      <w:pPr>
        <w:pStyle w:val="Heading2"/>
      </w:pPr>
      <w:r>
        <w:t>6. Documentation Audits and Border Entry Clearance Standards</w:t>
      </w:r>
    </w:p>
    <w:p>
      <w:r>
        <w:t>Customs authorities enforce strict document verification standards. Submitting inaccurate commercial invoices, incorrect packing list weights, or misdeclared HS codes triggers intensive physical examination holds at Centralized Examination Stations.</w:t>
        <w:br/>
        <w:br/>
        <w:t>Importers and freight forwarders can streamline documentation workflows by digitizing data entry across trade platforms. Ensuring document consistency protects trading firms against post-entry customs audits and retroactive duty adjustments.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pPr>
        <w:pStyle w:val="Heading2"/>
      </w:pPr>
      <w:r>
        <w:t>7. Real-World Commercial Case Scenarios in Major Gateway Ports</w:t>
      </w:r>
    </w:p>
    <w:p>
      <w:r>
        <w:t>Consider an import transaction involving high-value manufactured goods moving through Rotterdam or Los Angeles. When documentation discrepancies occur between the customs broker and carrier line, carrier release is held, causing container free time to expire.</w:t>
        <w:br/>
        <w:br/>
        <w:t>By establishing automated alerts that notify dispatchers the exact moment cargo becomes available, logistics managers instruct draymen to gate in immediately, avoiding thousands of dollars in port storage fees.</w:t>
      </w:r>
    </w:p>
    <w:p>
      <w:pPr>
        <w:pStyle w:val="Heading2"/>
      </w:pPr>
      <w:r>
        <w:t>8. Long-Term Recommendations for Supply Chain Execution</w:t>
      </w:r>
    </w:p>
    <w:p>
      <w:r>
        <w:t>Navigating volatile ocean freight markets requires moving beyond reactive troubleshooting toward structured supply chain management. Trading companies that analyze historical shipping data, diversify port gateway allocations, and maintain multi-carrier relationships navigate market disruptions far more effectively.</w:t>
        <w:br/>
        <w:br/>
        <w:t>By combining early booking discipline, accurate volume forecasting, automated tracking visibility, and robust drayage coordination, international shippers safeguard operating margins, eliminate unnecessary penalty expenses, and build resilient global logistics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