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Waiting For Stability Is Costing You Money: Pillar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Why Waiting For Stability Is Costing You Money: Pillar Manual</w:t>
            </w:r>
          </w:p>
        </w:tc>
      </w:tr>
      <w:tr>
        <w:tc>
          <w:tcPr>
            <w:tcW w:type="dxa" w:w="4320"/>
          </w:tcPr>
          <w:p>
            <w:r>
              <w:rPr>
                <w:b/>
              </w:rPr>
              <w:t>Meta Description</w:t>
            </w:r>
          </w:p>
        </w:tc>
        <w:tc>
          <w:tcPr>
            <w:tcW w:type="dxa" w:w="4320"/>
          </w:tcPr>
          <w:p>
            <w:r>
              <w:t>Deep pillar guide on why waiting for stability is costing you money in international shipping, detailing port clearance, cost models, risk mitigation, and cas</w:t>
            </w:r>
          </w:p>
        </w:tc>
      </w:tr>
      <w:tr>
        <w:tc>
          <w:tcPr>
            <w:tcW w:type="dxa" w:w="4320"/>
          </w:tcPr>
          <w:p>
            <w:r>
              <w:rPr>
                <w:b/>
              </w:rPr>
              <w:t>Keywords</w:t>
            </w:r>
          </w:p>
        </w:tc>
        <w:tc>
          <w:tcPr>
            <w:tcW w:type="dxa" w:w="4320"/>
          </w:tcPr>
          <w:p>
            <w:r>
              <w:t>why waiting for stability is costing you money, maritime logistics, ocean freight, port operations, container shipping, supply chain</w:t>
            </w:r>
          </w:p>
        </w:tc>
      </w:tr>
    </w:tbl>
    <w:p/>
    <w:p>
      <w:pPr>
        <w:pStyle w:val="Heading2"/>
      </w:pPr>
      <w:r>
        <w:t>1. Conceptual Framework and Industry Scope of Why Waiting For Stability Is Costing You Money</w:t>
      </w:r>
    </w:p>
    <w:p>
      <w:r>
        <w:t>In international ocean freight logistics, few operational topics carry as much commercial significance as why waiting for stability is costing you money.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pPr>
        <w:pStyle w:val="Heading2"/>
      </w:pPr>
      <w:r>
        <w:t>2. Regulatory Compliance and Border Customs Requirements</w:t>
      </w:r>
    </w:p>
    <w:p>
      <w:r>
        <w:t>Analyzing international trade corridors serving major gateways such as Rotterdam, Hamburg, Shanghai, Singapore, and Los Angeles underscores the necessity of structured documentation and real-time tracking visibility regarding why waiting for stability is costing you money.</w:t>
        <w:br/>
        <w:br/>
        <w:t>Customs border enforcement agencies enforce strict statutory requirements regarding cargo documentation, including commercial invoices, packing lists, and bills of lading. Ensuring accurate classification prevents customs holds.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pPr>
        <w:pStyle w:val="Heading2"/>
      </w:pPr>
      <w:r>
        <w:t>3. Port Terminal Operations and Equipment Free Time Rules</w:t>
      </w:r>
    </w:p>
    <w:p>
      <w:r>
        <w:t>Marine container terminals operate as critical bottlenecks in international ocean supply chains. Terminal operators establish free time frameworks to incentivize rapid container turnover and prevent yard stacking congestion.</w:t>
        <w:br/>
        <w:br/>
        <w:t>Understanding demurrage, detention, and terminal storage fee structures allows shippers to negotiate extended free time allowances during annual ocean carrier contract renewals.</w:t>
      </w:r>
    </w:p>
    <w:p>
      <w:pPr>
        <w:pStyle w:val="Heading2"/>
      </w:pPr>
      <w:r>
        <w:t>4. Mathematical Escalation of Demurrage and Storage Penalties</w:t>
      </w:r>
    </w:p>
    <w:p>
      <w:r>
        <w:t>Demurrage and detention fees are structured using aggressive tiered sliding scales where daily charges increase dramatically over time. For example, standard dry container demurrage rates may begin at $200 per day for days 5 to 8, escalating to $350 per day for days 9 to 12, and exceeding $500 per day thereafter.</w:t>
        <w:br/>
        <w:br/>
        <w:t>Under this sliding scale structure, a shipment of ten containers delayed for two weeks beyond free time accrues over $30,000 in demurrage penalties alone. Managing container release milestones is vital for cost control.</w:t>
      </w:r>
    </w:p>
    <w:p>
      <w:pPr>
        <w:pStyle w:val="Heading2"/>
      </w:pPr>
      <w:r>
        <w:t>5. Primary Drivers of Container Storage Bottlenecks</w:t>
      </w:r>
    </w:p>
    <w:p>
      <w:r>
        <w:t>Container penalty charges typically result from compounding bottlenecks across customs holds, port congestion, chassis shortages, and documentation transmission delays. Identifying bottleneck causes allows logistics teams to apply targeted preventive measures.</w:t>
      </w:r>
    </w:p>
    <w:p>
      <w:pPr>
        <w:pStyle w:val="Heading2"/>
      </w:pPr>
      <w:r>
        <w:t>6. Step-by-Step Shipper Execution Protocol</w:t>
      </w:r>
    </w:p>
    <w:p>
      <w:r>
        <w:t>Establishing a resilient shipping workflow requires standardized operational protocols across warehouse loading teams, customs brokers, and destination drayage truckers. Pre-clearing customs entries and pre-booking drayage capacity eliminates port gate delays.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pPr>
        <w:pStyle w:val="Heading2"/>
      </w:pPr>
      <w:r>
        <w:t>7. Financial Recovery and International Carrier Liability Limits</w:t>
      </w:r>
    </w:p>
    <w:p>
      <w:r>
        <w:t>When cargo damage or loss occurs during ocean transit, recovering commercial value from ocean carriers is governed by international maritime legal conventions. Under Hague-Visby rules, carrier liability is limited to 666.67 SDR per package unless higher commercial values are declared on bills of lading.</w:t>
      </w:r>
    </w:p>
    <w:p>
      <w:pPr>
        <w:pStyle w:val="Heading2"/>
      </w:pPr>
      <w:r>
        <w:t>8. Incoterms Allocation of Transport Risk and Free Time Liability</w:t>
      </w:r>
    </w:p>
    <w:p>
      <w:r>
        <w:t>Selecting appropriate Incoterms in international sales contracts determines which commercial party assumes transport cost obligations and risk. In DDP transactions, any demurrage accrued at destination port gates falls directly on the seller.</w:t>
      </w:r>
    </w:p>
    <w:p>
      <w:pPr>
        <w:pStyle w:val="Heading2"/>
      </w:pPr>
      <w:r>
        <w:t>9. Insurance Protections and Contingency Risk Management</w:t>
      </w:r>
    </w:p>
    <w:p>
      <w:r>
        <w:t>Standard marine cargo insurance policies typically exclude demurrage and storage penalties. Specialized trade delay insurance riders provide contingency indemnity during catastrophic events such as port labor strikes or severe weather closures.</w:t>
      </w:r>
    </w:p>
    <w:p>
      <w:pPr>
        <w:pStyle w:val="Heading2"/>
      </w:pPr>
      <w:r>
        <w:t>10. Advanced Case Scenarios in Major Gateway Ports</w:t>
      </w:r>
    </w:p>
    <w:p>
      <w:r>
        <w:t>Examining actual commercial shipping scenarios in Rotterdam, Antwerp, and Los Angeles demonstrates how pre-clearing import entries and maintaining real-time tracking visibility prevents multi-thousand dollar demurrage charges.</w:t>
      </w:r>
    </w:p>
    <w:p>
      <w:pPr>
        <w:pStyle w:val="Heading2"/>
      </w:pPr>
      <w:r>
        <w:t>11. Strategic Recommendations for Global Supply Chains</w:t>
      </w:r>
    </w:p>
    <w:p>
      <w:r>
        <w:t>Eliminating transport bottlenecks requires shifting from reactive emergency troubleshooting to proactive supply chain management. Shippers should audit drayage partners regularly and adopt electronic sea waybills.</w:t>
      </w:r>
    </w:p>
    <w:p>
      <w:pPr>
        <w:pStyle w:val="Heading2"/>
      </w:pPr>
      <w:r>
        <w:t>12. Future Outlook for Digital Freight Infrastructure</w:t>
      </w:r>
    </w:p>
    <w:p>
      <w:r>
        <w:t>Advancements in API integrations, automated customs clearance, and predictive AIS tracking continue to transform ocean freight execution, enabling shippers to maintain complete transparency across global trade lanes.</w:t>
      </w:r>
    </w:p>
    <w:p>
      <w:pPr>
        <w:pStyle w:val="Heading2"/>
      </w:pPr>
      <w:r>
        <w:t>13. Operational Summary and Next Steps for Trade Managers</w:t>
      </w:r>
    </w:p>
    <w:p>
      <w:r>
        <w:t>By combining negotiated extended free time, automated tracking visibility, disciplined customs pre-clearance, and robust drayage coordination, international trading companies safeguard operating margins and build resilient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