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March 2026 Development Release Empowering Business Users: Practical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March 2026 Development Release Empowering Business Users: Practical</w:t>
            </w:r>
          </w:p>
        </w:tc>
      </w:tr>
      <w:tr>
        <w:tc>
          <w:tcPr>
            <w:tcW w:type="dxa" w:w="4320"/>
          </w:tcPr>
          <w:p>
            <w:r>
              <w:rPr>
                <w:b/>
              </w:rPr>
              <w:t>Meta Description</w:t>
            </w:r>
          </w:p>
        </w:tc>
        <w:tc>
          <w:tcPr>
            <w:tcW w:type="dxa" w:w="4320"/>
          </w:tcPr>
          <w:p>
            <w:r>
              <w:t>Practical guide on march 2026 development release empowering business users for ocean freight, port operations, customs clearance, and supply chain cost preve</w:t>
            </w:r>
          </w:p>
        </w:tc>
      </w:tr>
      <w:tr>
        <w:tc>
          <w:tcPr>
            <w:tcW w:type="dxa" w:w="4320"/>
          </w:tcPr>
          <w:p>
            <w:r>
              <w:rPr>
                <w:b/>
              </w:rPr>
              <w:t>Keywords</w:t>
            </w:r>
          </w:p>
        </w:tc>
        <w:tc>
          <w:tcPr>
            <w:tcW w:type="dxa" w:w="4320"/>
          </w:tcPr>
          <w:p>
            <w:r>
              <w:t>march 2026 development release empowering business users, ocean shipping, freight forwarding, customs clearance, port operations</w:t>
            </w:r>
          </w:p>
        </w:tc>
      </w:tr>
    </w:tbl>
    <w:p/>
    <w:p>
      <w:pPr>
        <w:pStyle w:val="Heading2"/>
      </w:pPr>
      <w:r>
        <w:t>1. Operational Framework and Market Scope of March 2026 Development Release Empowering Business Users</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2. Core Regulatory Compliance and Customs Requirements</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9. Multi-Modal Transport Optimization and Carrier Selection</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p>
      <w:pPr>
        <w:pStyle w:val="Heading2"/>
      </w:pPr>
      <w:r>
        <w:t>10. Final Execution Checklist and Continuous Monitoring</w:t>
      </w:r>
    </w:p>
    <w:p>
      <w:r>
        <w:t>Managing international ocean freight corridors demands strict operational adherence and continuous monitoring regarding march 2026 development release empowering business users. In global commercial trade, small procedural oversights at origin manufacturing plants, port gate intersections, or transshipment yards rapidly escalate into major commercial disputes between trading partners, ocean carriers, and border enforcement authorities. Establishing standardized documentation protocols at factory departure gates prevents costly holds and ensures predictable supply chain flows across international markets.</w:t>
      </w:r>
    </w:p>
    <w:p>
      <w: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Recent supply chain shifts, ocean carrier vessel re-routings around maritime choke points, and changing port free time schedules emphasize the necessity of proactive freight execution. Beneficial cargo owners and freight forwarders who audit transport documentation early prevent cargo delays, eliminate demurrage charges, and maintain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