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Managing Carbon Taxes and Costs in Global Logistics</w:t>
      </w:r>
    </w:p>
    <w:p>
      <w:r>
        <w:rPr>
          <w:i/>
          <w:color w:val="646464"/>
          <w:sz w:val="18"/>
        </w:rPr>
        <w:t>Meta Title: Global Carbon Tax Guide for Logistics: EU ETS and CBAM</w:t>
        <w:br/>
      </w:r>
      <w:r>
        <w:rPr>
          <w:i/>
          <w:color w:val="646464"/>
          <w:sz w:val="18"/>
        </w:rPr>
        <w:t>Meta Description: Analyze EU ETS maritime compliance, CBAM costs, and global fuel taxes. Optimize routes and adopt APIs to protect freight margins.</w:t>
        <w:br/>
      </w:r>
    </w:p>
    <w:p/>
    <w:p>
      <w:r>
        <w:t>Global regulatory frameworks designed to curb greenhouse gas emissions are no longer future projections waiting on international commitments. Statutory carbon pricing and environmental tax policies are active statutory realities, directly impacting balance sheets across international transport networks. Logistics service providers operating across maritime lanes, air freight routes, and overland trucking networks face direct financial penalties if carbon emissions remain unmonitored and unmanaged. Regulatory pressure from governments converges with rising operating costs, creating financial risk for carriers and freight forwarders that fail to adapt. Understanding the precise structure of these carbon mechanisms is essential for preserving operating margins and maintaining market competitiveness.</w:t>
      </w:r>
    </w:p>
    <w:p>
      <w:r>
        <w:t>The European Union stands at the forefront of statutory carbon compliance through the EU Emissions Trading System. Under this system, regulatory authorities place explicit caps on total allowable greenhouse gas emissions while creating a market mechanism for trading emission allowances. The scope of this policy covers commercial shipping, aviation, power generation, and industrial manufacturing facilities. For transportation operators, allowance liabilities represent a direct operating expenditure pegged to volatile carbon allowance markets. During 2023, carbon prices reached benchmark levels of €100 per ton of CO2, significantly raising compliance spending for companies moving goods into and across European territories.</w:t>
      </w:r>
    </w:p>
    <w:p>
      <w:r>
        <w:t>Aviation and maritime operations face specific compliance thresholds under the EU ETS. For commercial flight operations, air carriers must surrender allowances covering 100 percent of CO2 emissions generated on flights operating entirely within EU member states. For international flights connecting EU airports with non-EU locations, 50 percent of total CO2 emissions are subject to allowance purchasing obligations. In maritime transport, ocean carriers face equivalent statutory obligations based on vessel emissions recorded during European voyages.</w:t>
      </w:r>
    </w:p>
    <w:p>
      <w:r>
        <w:t>To illustrate the financial impact on ocean freight, consider a standard medium-sized bulk carrier. A ten-year-old bulk vessel operating primarily between European ports produces approximately 16,000 tonnes of CO2 per year during routine operations. Applying a carbon price of €100 per tonne results in an annual EU ETS compliance charge of €1.6 million for that single vessel. For shipowners operating on narrow profit margins, an added expense of this magnitude fundamentally alters trade route profitability. Ocean carriers must account for these charges when evaluating charter rates and lane deployment.</w:t>
      </w:r>
    </w:p>
    <w:p>
      <w:r>
        <w:t>EU ETS maritime compliance requires systematic monitoring of fuel consumption and emissions output across every voyage. Shipping lines that fail to incorporate statutory carbon costs into their baseline freight rate structures risk absorbing heavy losses. Effective compliance management depends on precise tracking to ensure allowance obligations are calculated accurately and distributed fairly across commercial agreements.</w:t>
      </w:r>
    </w:p>
    <w:p>
      <w:r>
        <w:t>Cross-border trade entering European markets is subject to the CBAM carbon tax adjustment mechanism. Designed as an import tax on embodied carbon emissions, the Carbon Border Adjustment Mechanism applies directly to imports of steel, aluminum, cement, fertilizers, and electricity. Importers of these designated goods into the EU must purchase official CBAM certificates. The price of these certificates is tied directly to prevailing market clearing prices within the EU ETS, ensuring imported goods face carbon costs equal to European domestic production.</w:t>
      </w:r>
    </w:p>
    <w:p>
      <w:r>
        <w:t>The implementation of CBAM increases procurement costs for non-EU manufacturers, particularly suppliers relying on carbon-heavy manufacturing processes. The economic impact on international trade flows is evident when examining cement imports from Turkey. Turkish cement manufacturing carries an estimated carbon intensity of approximately 0.8 tonnes of CO2 per tonne of produced cement. Assuming an EU ETS allowance price of €75 per tonne of CO2, the corresponding CBAM surcharge equals €60 per tonne of imported cement, calculated as 0.8 multiplied by €75. A surcharge of €60 per tonne severely undermines the price competitiveness of Turkish cement within European markets, driving down total import volumes from non-EU manufacturing centers.</w:t>
      </w:r>
    </w:p>
    <w:p>
      <w:r>
        <w:t>Carbon taxation policies in the Asia-Pacific region are also elevating operational costs for maritime trade. Singapore's carbon tax framework offers a clear blueprint for regional decarbonization policies. Under statutory schedules, Singapore's carbon tax rate escalates from S$5 per tonne to targets between S$50 and S$80 per tonne of CO2 by 2030. This tax structure affects port operations directly because marine terminals and cargo handling facilities consume substantial amounts of electricity. As terminal operating expenses rise under higher tax rates, port facilities pass these added costs to ocean carriers through increased docking charges and container handling fees.</w:t>
      </w:r>
    </w:p>
    <w:p>
      <w:r>
        <w:t>Bunker fuel suppliers operating in Singapore also fall under the purview of national carbon taxation. Fuel suppliers pass their tax liabilities directly to shipping lines by raising marine fuel prices, creating a direct link between national carbon taxes and ocean freight surcharges. However, partial cost relief is available through official incentive programs. Under the Maritime Singapore Green Initiative, managed by the Maritime and Port Authority, vessels utilizing low-carbon or zero-carbon fuels receive port fee reductions. These fee cuts offset a portion of the carbon tax burden, creating direct financial incentives for shipowners investing in green vessel technologies.</w:t>
      </w:r>
    </w:p>
    <w:p>
      <w:r>
        <w:t>In North America, regional environmental policies impose similar cost increases on freight operations. California's Cap-and-Trade program includes commercial transportation fuels, driving up retail and wholesale fuel costs for heavy freight operators. The immediate policy effect adds roughly $0.27 per gallon to retail gasoline prices in California, with corresponding price increases applied to commercial diesel fuel. Long-term regulatory forecasts indicate that combined California environmental programs, including Cap-and-Trade and the Low Carbon Fuel Standard, will increase gasoline and diesel prices by $0.89 to $2.10 per gallon by 2030. Freight carriers pass these elevated fuel costs directly to shippers and end consumers.</w:t>
      </w:r>
    </w:p>
    <w:p>
      <w:r>
        <w:t>Addressing these overlapping global tax regimes requires a clear multimodal decarbonization strategy. Route optimization offers an immediate method for mitigating regulatory exposure without requiring full fleet replacements. Ocean carriers and freight forwarders can route shipments through ETS-exempt transshipment hubs, reducing the percentage of voyage distance subject to European allowance surcharges. Transitioning long-haul freight from highway trucking to multimodal rail and sea transport significantly reduces total fuel consumption and carbon output per tonne-kilometer.</w:t>
      </w:r>
    </w:p>
    <w:p>
      <w:r>
        <w:t>Reassessing fleet schedules allows logistics managers to integrate lower-emission transport options into standard routing options. Shippers and logistics service providers should establish clear sustainable goals within commercial contracts to enable equitable cost-sharing and transparent reporting. Establishing long-term freight agreements with built-in fuel and carbon efficiency metrics aligns both parties around systematic cost reduction.</w:t>
      </w:r>
    </w:p>
    <w:p>
      <w:r>
        <w:t>Ocean carriers are investing heavily in low-emission vessel networks to reduce baseline compliance charges. Container shipping lines deploying methanol-powered Maersk vessels achieve CO2 reductions of up to 95 percent compared to standard heavy fuel oil. CMA CGM's fleet of LNG-powered container ships cuts carbon emissions by 20 to 30 percent. For short-sea shipping routes, battery-electric vessels are emerging as a commercial zero-emission alternative. Partnering with low-emission ocean carriers lowers total freight liabilities over time while ensuring full compliance with international maritime rules.</w:t>
      </w:r>
    </w:p>
    <w:p>
      <w:r>
        <w:t>Investing in low-carbon technologies across all transport modes provides a long-term defense against rising regulatory costs. Integrating alternative fuels such as biofuels, hydrogen, and LNG reduces emissions output across heavy transport networks. Deploying electric and hybrid delivery vehicles in urban freight networks reduces last-mile transport emissions. digital fleet optimization tools improve cargo loading efficiency, route planning, and vehicle utilization.</w:t>
      </w:r>
    </w:p>
    <w:p>
      <w:r>
        <w:t>Accurate carbon tracking is necessary to satisfy customer sustainability mandates and customer carbon reduction goals. Shippers require granular visibility into shipment-level carbon data to verify progress toward corporate environmental goals. Integrating a carbon calculator freight API into digital logistics software enables logistics providers to calculate CO2 emissions automatically based on shipment distance, transport mode, and cargo weight. This digital integration allows companies to generate precise emission reports and compare low-carbon transport alternatives against standard routing options.</w:t>
      </w:r>
    </w:p>
    <w:p>
      <w:r>
        <w:t>Port authorities and regional governments are supporting these digital tools by offering green shipping incentives that grant lower port dues and fee reductions to low-emission vessels. Utilizing specialized software alongside green corridors enables logistics providers to maintain profit margins while remaining compliant with global policies like the EU ETS and CBAM. For customized freight planning and carbon reduction strategies, logistics companies can contact the SeaRates team at sales@searates.com to optimize their supply chain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